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0563E" w:rsidRPr="0080563E" w:rsidRDefault="0080563E" w:rsidP="0080563E">
      <w:pPr>
        <w:spacing w:after="120" w:line="240" w:lineRule="auto"/>
        <w:jc w:val="left"/>
        <w:rPr>
          <w:rFonts w:cstheme="minorHAnsi"/>
          <w:lang w:val="en-US"/>
        </w:rPr>
      </w:pPr>
      <w:r w:rsidRPr="0080563E">
        <w:rPr>
          <w:rFonts w:cstheme="minorHAnsi"/>
          <w:lang w:val="en-US"/>
        </w:rPr>
        <w:t>Documentation fire for the dataset</w:t>
      </w:r>
    </w:p>
    <w:p w:rsidR="00FC006C" w:rsidRPr="00FC006C" w:rsidRDefault="00FC006C" w:rsidP="00FC006C">
      <w:pPr>
        <w:spacing w:after="120" w:line="240" w:lineRule="auto"/>
        <w:jc w:val="left"/>
        <w:rPr>
          <w:rFonts w:cstheme="minorHAnsi"/>
          <w:sz w:val="28"/>
          <w:szCs w:val="28"/>
          <w:lang w:val="en-US"/>
        </w:rPr>
      </w:pPr>
      <w:r w:rsidRPr="00FC006C">
        <w:rPr>
          <w:rFonts w:cstheme="minorHAnsi"/>
          <w:sz w:val="28"/>
          <w:szCs w:val="28"/>
          <w:lang w:val="en-US"/>
        </w:rPr>
        <w:t xml:space="preserve">Reconstruction of fire frequency and burned areas around </w:t>
      </w:r>
      <w:proofErr w:type="spellStart"/>
      <w:r w:rsidRPr="00FC006C">
        <w:rPr>
          <w:rFonts w:cstheme="minorHAnsi"/>
          <w:sz w:val="28"/>
          <w:szCs w:val="28"/>
          <w:lang w:val="en-US"/>
        </w:rPr>
        <w:t>Yaksha</w:t>
      </w:r>
      <w:proofErr w:type="spellEnd"/>
      <w:r w:rsidRPr="00FC006C">
        <w:rPr>
          <w:rFonts w:cstheme="minorHAnsi"/>
          <w:sz w:val="28"/>
          <w:szCs w:val="28"/>
          <w:lang w:val="en-US"/>
        </w:rPr>
        <w:t xml:space="preserve"> village, Komi republic, Russia</w:t>
      </w:r>
    </w:p>
    <w:p w:rsidR="0080563E" w:rsidRPr="0080563E" w:rsidRDefault="00FC006C" w:rsidP="0080563E">
      <w:pPr>
        <w:spacing w:after="120" w:line="240" w:lineRule="auto"/>
        <w:jc w:val="left"/>
        <w:rPr>
          <w:rFonts w:cstheme="minorHAnsi"/>
          <w:lang w:val="en-US"/>
        </w:rPr>
      </w:pPr>
      <w:proofErr w:type="gramStart"/>
      <w:r>
        <w:rPr>
          <w:rFonts w:cstheme="minorHAnsi"/>
          <w:lang w:val="en-US"/>
        </w:rPr>
        <w:t>by</w:t>
      </w:r>
      <w:proofErr w:type="gramEnd"/>
      <w:r>
        <w:rPr>
          <w:rFonts w:cstheme="minorHAnsi"/>
          <w:lang w:val="en-US"/>
        </w:rPr>
        <w:t xml:space="preserve"> </w:t>
      </w:r>
      <w:proofErr w:type="spellStart"/>
      <w:r>
        <w:rPr>
          <w:rFonts w:cstheme="minorHAnsi"/>
          <w:lang w:val="en-US"/>
        </w:rPr>
        <w:t>Ryzhkova</w:t>
      </w:r>
      <w:proofErr w:type="spellEnd"/>
      <w:r>
        <w:rPr>
          <w:rFonts w:cstheme="minorHAnsi"/>
          <w:lang w:val="en-US"/>
        </w:rPr>
        <w:t xml:space="preserve"> et al, published in Ecological Monographs, 2022</w:t>
      </w:r>
    </w:p>
    <w:p w:rsidR="0080563E" w:rsidRPr="0080563E" w:rsidRDefault="0080563E" w:rsidP="0080563E">
      <w:pPr>
        <w:spacing w:after="120" w:line="240" w:lineRule="auto"/>
        <w:jc w:val="left"/>
        <w:rPr>
          <w:rFonts w:cstheme="minorHAnsi"/>
          <w:lang w:val="en-US"/>
        </w:rPr>
      </w:pPr>
    </w:p>
    <w:p w:rsidR="0080563E" w:rsidRPr="0080563E" w:rsidRDefault="0080563E" w:rsidP="0080563E">
      <w:pPr>
        <w:spacing w:after="120" w:line="240" w:lineRule="auto"/>
        <w:jc w:val="left"/>
        <w:rPr>
          <w:rFonts w:cstheme="minorHAnsi"/>
          <w:lang w:val="en-US"/>
        </w:rPr>
      </w:pPr>
      <w:bookmarkStart w:id="0" w:name="_GoBack"/>
      <w:bookmarkEnd w:id="0"/>
      <w:r w:rsidRPr="0080563E">
        <w:rPr>
          <w:rFonts w:cstheme="minorHAnsi"/>
          <w:lang w:val="en-US"/>
        </w:rPr>
        <w:t>1.  General description</w:t>
      </w:r>
    </w:p>
    <w:p w:rsidR="0080563E" w:rsidRPr="0080563E" w:rsidRDefault="0080563E" w:rsidP="0080563E">
      <w:pPr>
        <w:spacing w:after="120" w:line="240" w:lineRule="auto"/>
        <w:jc w:val="left"/>
        <w:rPr>
          <w:rFonts w:cstheme="minorHAnsi"/>
          <w:sz w:val="24"/>
          <w:szCs w:val="24"/>
          <w:lang w:val="en-US"/>
        </w:rPr>
      </w:pPr>
      <w:r w:rsidRPr="0080563E">
        <w:rPr>
          <w:rFonts w:cstheme="minorHAnsi"/>
          <w:sz w:val="24"/>
          <w:szCs w:val="24"/>
          <w:lang w:val="en-US"/>
        </w:rPr>
        <w:t>The sampled sites were located within and in proximity to the Pechora-</w:t>
      </w:r>
      <w:proofErr w:type="spellStart"/>
      <w:r w:rsidRPr="0080563E">
        <w:rPr>
          <w:rFonts w:cstheme="minorHAnsi"/>
          <w:sz w:val="24"/>
          <w:szCs w:val="24"/>
          <w:lang w:val="en-US"/>
        </w:rPr>
        <w:t>Ilych</w:t>
      </w:r>
      <w:proofErr w:type="spellEnd"/>
      <w:r w:rsidRPr="0080563E">
        <w:rPr>
          <w:rFonts w:cstheme="minorHAnsi"/>
          <w:sz w:val="24"/>
          <w:szCs w:val="24"/>
          <w:lang w:val="en-US"/>
        </w:rPr>
        <w:t xml:space="preserve"> NBR, within 61°43'–63°16' N and 56°52'–59° 39' E (Fig. 1). Using the existing forest road network and the Pechora River, we placed sites in a regular fashion in an area between </w:t>
      </w:r>
      <w:proofErr w:type="spellStart"/>
      <w:r w:rsidRPr="0080563E">
        <w:rPr>
          <w:rFonts w:cstheme="minorHAnsi"/>
          <w:sz w:val="24"/>
          <w:szCs w:val="24"/>
          <w:lang w:val="en-US"/>
        </w:rPr>
        <w:t>Yaksha</w:t>
      </w:r>
      <w:proofErr w:type="spellEnd"/>
      <w:r w:rsidRPr="0080563E">
        <w:rPr>
          <w:rFonts w:cstheme="minorHAnsi"/>
          <w:sz w:val="24"/>
          <w:szCs w:val="24"/>
          <w:lang w:val="en-US"/>
        </w:rPr>
        <w:t xml:space="preserve"> and </w:t>
      </w:r>
      <w:proofErr w:type="spellStart"/>
      <w:r w:rsidRPr="0080563E">
        <w:rPr>
          <w:rFonts w:cstheme="minorHAnsi"/>
          <w:sz w:val="24"/>
          <w:szCs w:val="24"/>
          <w:lang w:val="en-US"/>
        </w:rPr>
        <w:t>Kurja</w:t>
      </w:r>
      <w:proofErr w:type="spellEnd"/>
      <w:r w:rsidRPr="0080563E">
        <w:rPr>
          <w:rFonts w:cstheme="minorHAnsi"/>
          <w:sz w:val="24"/>
          <w:szCs w:val="24"/>
          <w:lang w:val="en-US"/>
        </w:rPr>
        <w:t xml:space="preserve"> villages, by randomly locating points for sampling along the roads and the river. To ensure sufficient site density for estimating the size of individual fires, we kept the distance between neighboring sites within two to five km. We sampled both forested areas and areas with recent clear-cuts, since they both provided material for dendrochronological dating. Mires (mostly fens) </w:t>
      </w:r>
      <w:proofErr w:type="gramStart"/>
      <w:r w:rsidRPr="0080563E">
        <w:rPr>
          <w:rFonts w:cstheme="minorHAnsi"/>
          <w:sz w:val="24"/>
          <w:szCs w:val="24"/>
          <w:lang w:val="en-US"/>
        </w:rPr>
        <w:t>were generally not sampled</w:t>
      </w:r>
      <w:proofErr w:type="gramEnd"/>
      <w:r w:rsidRPr="0080563E">
        <w:rPr>
          <w:rFonts w:cstheme="minorHAnsi"/>
          <w:sz w:val="24"/>
          <w:szCs w:val="24"/>
          <w:lang w:val="en-US"/>
        </w:rPr>
        <w:t xml:space="preserve">, since these locations were generally devoid of old wood. However, we collected a large number of samples on the interfaces between mires and the drier portions of the landscape. Each site represented an area of two to three hectares. To ensure an equally distributed sampling effort, we inventoried each site during a 1.5–two-hour period, by thoroughly searching the area for the presence of living and dead trees with fire scars. We used chainsaws to extract wedges from living trees and snags and, in the case of stumps, cross-sections. Between six and 15 samples were collected on each site. We acquired </w:t>
      </w:r>
      <w:proofErr w:type="gramStart"/>
      <w:r w:rsidRPr="0080563E">
        <w:rPr>
          <w:rFonts w:cstheme="minorHAnsi"/>
          <w:sz w:val="24"/>
          <w:szCs w:val="24"/>
          <w:lang w:val="en-US"/>
        </w:rPr>
        <w:t>a total of 179</w:t>
      </w:r>
      <w:proofErr w:type="gramEnd"/>
      <w:r w:rsidRPr="0080563E">
        <w:rPr>
          <w:rFonts w:cstheme="minorHAnsi"/>
          <w:sz w:val="24"/>
          <w:szCs w:val="24"/>
          <w:lang w:val="en-US"/>
        </w:rPr>
        <w:t xml:space="preserve"> samples of 51 living and 128 dead pine trees. We carried out our sampling in 2016 and integrated this dataset with a portion of the data from our earlier study </w:t>
      </w:r>
      <w:r w:rsidRPr="0080563E">
        <w:rPr>
          <w:rFonts w:cstheme="minorHAnsi"/>
          <w:sz w:val="24"/>
          <w:szCs w:val="24"/>
        </w:rPr>
        <w:fldChar w:fldCharType="begin" w:fldLock="1"/>
      </w:r>
      <w:r w:rsidRPr="0080563E">
        <w:rPr>
          <w:rFonts w:cstheme="minorHAnsi"/>
          <w:sz w:val="24"/>
          <w:szCs w:val="24"/>
          <w:lang w:val="en-US"/>
        </w:rPr>
        <w:instrText>ADDIN CSL_CITATION {"citationItems":[{"id":"ITEM-1","itemData":{"ISSN":"00375330","abstract":"For the period 1420-1960 we contrasted fire events reconstructed at 14 sites distributed over a 50 km x 50 km area in the central part of the Komi Republic (European Russia) with a set of tree-ring width chronologies of Scots pine (Pinus sylvestris L.), developed for the same area. Our aim was to infer common climatic information contained in tree-ring variables and independently dated fire events with the help of a superposed epoch analysis. The strongest weather-growth link was shown for the latewood width, which was positively correlated with the temperature in April-May and July-August of the current growth season and with previous year precipitation in July-August. Earlywood width was positively affected by previous year precipitation in May and November. The relationship between yearly ring variables and multiple-site fire events was dependent on the seasonal timing of fire events as recorded in the scars. In years with early-season fires (which made up 37% of all fires dated with seasonal resolution) total ring width was significantly narrower. In years with late-season fires (63%) total ring width, earlywood, and latewood width were significantly wider. Years with late-season fires tended to be associated with local highs of the latewood width chronologies over 1400-1960, which implied a link between decadal-scale climate variation and fire regime of the area.","author":[{"dropping-particle":"","family":"Drobyshev","given":"I.","non-dropping-particle":"","parse-names":false,"suffix":""},{"dropping-particle":"","family":"Niklasson","given":"M.","non-dropping-particle":"","parse-names":false,"suffix":""},{"dropping-particle":"","family":"Angelstam","given":"P.","non-dropping-particle":"","parse-names":false,"suffix":""}],"container-title":"Silva Fennica","id":"ITEM-1","issue":"1","issued":{"date-parts":[["2004"]]},"title":"Contrasting tree-ring data with fire record in a pine-dominated landscape in the Komi Republic (eastern European Russia): Recovering a common climate signal","type":"article-journal","volume":"38"},"uris":["http://www.mendeley.com/documents/?uuid=b0ec8fbc-5def-3083-8524-63c883927601"]}],"mendeley":{"formattedCitation":"(Drobyshev et al. 2004a)","plainTextFormattedCitation":"(Drobyshev et al. 2004a)","previouslyFormattedCitation":"(Drobyshev et al. 2004a)"},"properties":{"noteIndex":0},"schema":"https://github.com/citation-style-language/schema/raw/master/csl-citation.json"}</w:instrText>
      </w:r>
      <w:r w:rsidRPr="0080563E">
        <w:rPr>
          <w:rFonts w:cstheme="minorHAnsi"/>
          <w:sz w:val="24"/>
          <w:szCs w:val="24"/>
        </w:rPr>
        <w:fldChar w:fldCharType="separate"/>
      </w:r>
      <w:r w:rsidRPr="0080563E">
        <w:rPr>
          <w:rFonts w:cstheme="minorHAnsi"/>
          <w:noProof/>
          <w:sz w:val="24"/>
          <w:szCs w:val="24"/>
          <w:lang w:val="en-US"/>
        </w:rPr>
        <w:t>(Drobyshev et al. 2004a)</w:t>
      </w:r>
      <w:r w:rsidRPr="0080563E">
        <w:rPr>
          <w:rFonts w:cstheme="minorHAnsi"/>
          <w:sz w:val="24"/>
          <w:szCs w:val="24"/>
        </w:rPr>
        <w:fldChar w:fldCharType="end"/>
      </w:r>
      <w:r w:rsidRPr="0080563E">
        <w:rPr>
          <w:rFonts w:cstheme="minorHAnsi"/>
          <w:sz w:val="24"/>
          <w:szCs w:val="24"/>
          <w:lang w:val="en-US"/>
        </w:rPr>
        <w:t xml:space="preserve">. In particular, we screened the 2004 dataset and selected the oldest sites without a suspected hiatus in site fire chronologies. In total (2004 and 2016 datasets), our analyses operated on 30 sites and 247 trees. </w:t>
      </w:r>
    </w:p>
    <w:p w:rsidR="0080563E" w:rsidRDefault="0080563E" w:rsidP="0080563E">
      <w:pPr>
        <w:spacing w:after="120" w:line="240" w:lineRule="auto"/>
        <w:jc w:val="left"/>
        <w:rPr>
          <w:rFonts w:cstheme="minorHAnsi"/>
          <w:lang w:val="en-US"/>
        </w:rPr>
      </w:pPr>
    </w:p>
    <w:p w:rsidR="0080563E" w:rsidRDefault="0080563E" w:rsidP="0080563E">
      <w:pPr>
        <w:spacing w:after="120" w:line="240" w:lineRule="auto"/>
        <w:jc w:val="left"/>
        <w:rPr>
          <w:rFonts w:cstheme="minorHAnsi"/>
          <w:lang w:val="en-US"/>
        </w:rPr>
      </w:pPr>
      <w:r>
        <w:rPr>
          <w:rFonts w:cstheme="minorHAnsi"/>
          <w:lang w:val="en-US"/>
        </w:rPr>
        <w:t>2. Data files</w:t>
      </w:r>
    </w:p>
    <w:p w:rsidR="00444C2A" w:rsidRDefault="00A012B0" w:rsidP="00FC006C">
      <w:pPr>
        <w:spacing w:after="120" w:line="240" w:lineRule="auto"/>
        <w:ind w:left="3600" w:hanging="3600"/>
        <w:jc w:val="left"/>
        <w:rPr>
          <w:rFonts w:cstheme="minorHAnsi"/>
          <w:lang w:val="en-US"/>
        </w:rPr>
      </w:pPr>
      <w:r w:rsidRPr="0080563E">
        <w:rPr>
          <w:rFonts w:cstheme="minorHAnsi"/>
          <w:lang w:val="en-US"/>
        </w:rPr>
        <w:t>Yaksha_decada</w:t>
      </w:r>
      <w:r w:rsidR="0080563E">
        <w:rPr>
          <w:rFonts w:cstheme="minorHAnsi"/>
          <w:lang w:val="en-US"/>
        </w:rPr>
        <w:t>l_</w:t>
      </w:r>
      <w:r w:rsidRPr="0080563E">
        <w:rPr>
          <w:rFonts w:cstheme="minorHAnsi"/>
          <w:lang w:val="en-US"/>
        </w:rPr>
        <w:t>fire_frequences.dat</w:t>
      </w:r>
      <w:r w:rsidR="0080563E">
        <w:rPr>
          <w:rFonts w:cstheme="minorHAnsi"/>
          <w:lang w:val="en-US"/>
        </w:rPr>
        <w:tab/>
        <w:t>Decadal frequencies of fire occurrence in the study area</w:t>
      </w:r>
      <w:r w:rsidR="00FC006C">
        <w:rPr>
          <w:rFonts w:cstheme="minorHAnsi"/>
          <w:lang w:val="en-US"/>
        </w:rPr>
        <w:t xml:space="preserve"> over 1400-2010 AD.</w:t>
      </w:r>
    </w:p>
    <w:p w:rsidR="00FC006C" w:rsidRPr="0080563E" w:rsidRDefault="00FC006C" w:rsidP="0080563E">
      <w:pPr>
        <w:spacing w:after="120" w:line="240" w:lineRule="auto"/>
        <w:jc w:val="left"/>
        <w:rPr>
          <w:rFonts w:cstheme="minorHAnsi"/>
          <w:lang w:val="en-US"/>
        </w:rPr>
      </w:pPr>
      <w:r w:rsidRPr="00FC006C">
        <w:rPr>
          <w:rFonts w:cstheme="minorHAnsi"/>
          <w:lang w:val="en-US"/>
        </w:rPr>
        <w:t>Yaksha_area_burned.dat</w:t>
      </w:r>
      <w:r>
        <w:rPr>
          <w:rFonts w:cstheme="minorHAnsi"/>
          <w:lang w:val="en-US"/>
        </w:rPr>
        <w:tab/>
      </w:r>
      <w:r>
        <w:rPr>
          <w:rFonts w:cstheme="minorHAnsi"/>
          <w:lang w:val="en-US"/>
        </w:rPr>
        <w:tab/>
        <w:t>Area burned, in km2, in the study area over 1400-2010 AD.</w:t>
      </w:r>
    </w:p>
    <w:p w:rsidR="00A012B0" w:rsidRPr="0080563E" w:rsidRDefault="00A012B0" w:rsidP="0080563E">
      <w:pPr>
        <w:spacing w:after="120" w:line="240" w:lineRule="auto"/>
        <w:jc w:val="left"/>
        <w:rPr>
          <w:rFonts w:cstheme="minorHAnsi"/>
          <w:lang w:val="en-US"/>
        </w:rPr>
      </w:pPr>
    </w:p>
    <w:p w:rsidR="00A012B0" w:rsidRPr="0080563E" w:rsidRDefault="00A012B0" w:rsidP="0080563E">
      <w:pPr>
        <w:spacing w:after="120" w:line="240" w:lineRule="auto"/>
        <w:jc w:val="left"/>
        <w:rPr>
          <w:rFonts w:cstheme="minorHAnsi"/>
          <w:lang w:val="en-US"/>
        </w:rPr>
      </w:pPr>
    </w:p>
    <w:p w:rsidR="0080563E" w:rsidRPr="0080563E" w:rsidRDefault="0080563E" w:rsidP="0080563E">
      <w:pPr>
        <w:spacing w:after="120" w:line="240" w:lineRule="auto"/>
        <w:jc w:val="left"/>
        <w:rPr>
          <w:rFonts w:cstheme="minorHAnsi"/>
          <w:lang w:val="en-US"/>
        </w:rPr>
      </w:pPr>
    </w:p>
    <w:p w:rsidR="0080563E" w:rsidRPr="0080563E" w:rsidRDefault="0080563E" w:rsidP="0080563E">
      <w:pPr>
        <w:spacing w:after="120" w:line="240" w:lineRule="auto"/>
        <w:jc w:val="left"/>
        <w:rPr>
          <w:rFonts w:cstheme="minorHAnsi"/>
          <w:lang w:val="en-US"/>
        </w:rPr>
      </w:pPr>
    </w:p>
    <w:sectPr w:rsidR="0080563E" w:rsidRPr="0080563E">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012B0"/>
    <w:rsid w:val="00444C2A"/>
    <w:rsid w:val="0080563E"/>
    <w:rsid w:val="00A012B0"/>
    <w:rsid w:val="00FC006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9421D4"/>
  <w15:chartTrackingRefBased/>
  <w15:docId w15:val="{247BFCED-3AEF-4947-8DD9-C987D19D3D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before="120" w:after="120"/>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200" w:line="276" w:lineRule="auto"/>
    </w:pPr>
    <w:rPr>
      <w:lang w:val="sv-SE"/>
    </w:rPr>
  </w:style>
  <w:style w:type="paragraph" w:styleId="Heading1">
    <w:name w:val="heading 1"/>
    <w:basedOn w:val="Normal"/>
    <w:link w:val="Heading1Char"/>
    <w:uiPriority w:val="9"/>
    <w:qFormat/>
    <w:rsid w:val="00FC006C"/>
    <w:pPr>
      <w:spacing w:before="100" w:beforeAutospacing="1" w:after="100" w:afterAutospacing="1" w:line="240" w:lineRule="auto"/>
      <w:jc w:val="left"/>
      <w:outlineLvl w:val="0"/>
    </w:pPr>
    <w:rPr>
      <w:rFonts w:ascii="Times New Roman" w:eastAsia="Times New Roman" w:hAnsi="Times New Roman" w:cs="Times New Roman"/>
      <w:b/>
      <w:bCs/>
      <w:kern w:val="36"/>
      <w:sz w:val="48"/>
      <w:szCs w:val="48"/>
      <w:lang w:eastAsia="sv-S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0563E"/>
    <w:pPr>
      <w:ind w:left="720"/>
      <w:contextualSpacing/>
    </w:pPr>
  </w:style>
  <w:style w:type="character" w:customStyle="1" w:styleId="Heading1Char">
    <w:name w:val="Heading 1 Char"/>
    <w:basedOn w:val="DefaultParagraphFont"/>
    <w:link w:val="Heading1"/>
    <w:uiPriority w:val="9"/>
    <w:rsid w:val="00FC006C"/>
    <w:rPr>
      <w:rFonts w:ascii="Times New Roman" w:eastAsia="Times New Roman" w:hAnsi="Times New Roman" w:cs="Times New Roman"/>
      <w:b/>
      <w:bCs/>
      <w:kern w:val="36"/>
      <w:sz w:val="48"/>
      <w:szCs w:val="48"/>
      <w:lang w:val="sv-SE" w:eastAsia="sv-S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166476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10</TotalTime>
  <Pages>1</Pages>
  <Words>740</Words>
  <Characters>3926</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4657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Igor Drobyshev</dc:creator>
  <cp:keywords/>
  <dc:description/>
  <cp:lastModifiedBy>Igor Drobyshev</cp:lastModifiedBy>
  <cp:revision>3</cp:revision>
  <dcterms:created xsi:type="dcterms:W3CDTF">2022-02-08T22:32:00Z</dcterms:created>
  <dcterms:modified xsi:type="dcterms:W3CDTF">2022-02-09T07:47:00Z</dcterms:modified>
</cp:coreProperties>
</file>