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99CBEF" w14:textId="77777777" w:rsidR="007D4D7A" w:rsidRPr="00BB6F6C" w:rsidRDefault="00295FC8" w:rsidP="00254101">
      <w:pPr>
        <w:rPr>
          <w:rFonts w:asciiTheme="majorHAnsi" w:hAnsiTheme="majorHAnsi" w:cstheme="majorHAnsi"/>
          <w:b/>
          <w:lang w:val="et-EE"/>
        </w:rPr>
      </w:pPr>
      <w:r w:rsidRPr="00BB6F6C">
        <w:rPr>
          <w:rFonts w:asciiTheme="majorHAnsi" w:hAnsiTheme="majorHAnsi" w:cstheme="majorHAnsi"/>
          <w:b/>
          <w:lang w:val="et-EE"/>
        </w:rPr>
        <w:t xml:space="preserve">Explanation of variables in the file </w:t>
      </w:r>
      <w:r w:rsidR="0007740A" w:rsidRPr="00BB6F6C">
        <w:rPr>
          <w:rFonts w:asciiTheme="majorHAnsi" w:hAnsiTheme="majorHAnsi" w:cstheme="majorHAnsi"/>
          <w:b/>
          <w:lang w:val="et-EE"/>
        </w:rPr>
        <w:t>OE_MC_publish</w:t>
      </w:r>
    </w:p>
    <w:p w14:paraId="01315DD4" w14:textId="77777777" w:rsidR="00A81C65" w:rsidRPr="00BB6F6C" w:rsidRDefault="00A81C65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u w:val="single"/>
          <w:lang w:val="et-EE"/>
        </w:rPr>
        <w:t>1) Sheet „R“</w:t>
      </w:r>
      <w:r w:rsidRPr="00BB6F6C">
        <w:rPr>
          <w:rFonts w:asciiTheme="majorHAnsi" w:hAnsiTheme="majorHAnsi" w:cstheme="majorHAnsi"/>
          <w:lang w:val="et-EE"/>
        </w:rPr>
        <w:t xml:space="preserve"> – table used in analysis</w:t>
      </w:r>
    </w:p>
    <w:p w14:paraId="5DE944DD" w14:textId="77777777" w:rsidR="0007740A" w:rsidRPr="00BB6F6C" w:rsidRDefault="0007740A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site – ID of a site, clustered trees</w:t>
      </w:r>
    </w:p>
    <w:p w14:paraId="5903AAA0" w14:textId="77777777" w:rsidR="0007740A" w:rsidRPr="00BB6F6C" w:rsidRDefault="0007740A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tree_id – ID of trees</w:t>
      </w:r>
    </w:p>
    <w:p w14:paraId="7CB5A758" w14:textId="77777777" w:rsidR="0007740A" w:rsidRPr="00BB6F6C" w:rsidRDefault="0007740A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logger_id – ID of loggers placed inside wood mould</w:t>
      </w:r>
    </w:p>
    <w:p w14:paraId="5FE1D866" w14:textId="77777777" w:rsidR="0007740A" w:rsidRPr="00BB6F6C" w:rsidRDefault="0007740A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ambient_logger – ID of loggers measuring ambient temperature 2.5 m above the ground</w:t>
      </w:r>
    </w:p>
    <w:p w14:paraId="76379D97" w14:textId="77777777" w:rsidR="0007740A" w:rsidRPr="00BB6F6C" w:rsidRDefault="0007740A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alive – whether the tree was alive or dead (identified by presence of green leaves)</w:t>
      </w:r>
    </w:p>
    <w:p w14:paraId="4EA59035" w14:textId="77777777" w:rsidR="0007740A" w:rsidRPr="00BB6F6C" w:rsidRDefault="0007740A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stand – whether a tree was standing or laying down</w:t>
      </w:r>
    </w:p>
    <w:p w14:paraId="409A1FE3" w14:textId="77777777" w:rsidR="00294FCE" w:rsidRPr="00BB6F6C" w:rsidRDefault="0007740A" w:rsidP="00254101">
      <w:pPr>
        <w:rPr>
          <w:rFonts w:asciiTheme="majorHAnsi" w:hAnsiTheme="majorHAnsi" w:cstheme="majorHAnsi"/>
          <w:lang w:val="en-GB"/>
        </w:rPr>
      </w:pPr>
      <w:r w:rsidRPr="00BB6F6C">
        <w:rPr>
          <w:rFonts w:asciiTheme="majorHAnsi" w:hAnsiTheme="majorHAnsi" w:cstheme="majorHAnsi"/>
          <w:lang w:val="et-EE"/>
        </w:rPr>
        <w:t xml:space="preserve">canopy – </w:t>
      </w:r>
      <w:r w:rsidR="00294FCE" w:rsidRPr="00BB6F6C">
        <w:rPr>
          <w:rFonts w:asciiTheme="majorHAnsi" w:hAnsiTheme="majorHAnsi" w:cstheme="majorHAnsi"/>
          <w:lang w:val="en-GB"/>
        </w:rPr>
        <w:t>was estimated based on the percentage of the area of 2 m around the cover of a focal tree that was covered by branches of other trees. We divided the estimates into three categories: 1 (&lt; 2</w:t>
      </w:r>
      <w:r w:rsidR="00BB6F6C" w:rsidRPr="00BB6F6C">
        <w:rPr>
          <w:rFonts w:asciiTheme="majorHAnsi" w:hAnsiTheme="majorHAnsi" w:cstheme="majorHAnsi"/>
          <w:lang w:val="en-GB"/>
        </w:rPr>
        <w:t>5%), 2 (25-75 %), and 3 (&gt; 75%)</w:t>
      </w:r>
    </w:p>
    <w:p w14:paraId="73C6311C" w14:textId="77777777" w:rsidR="0007740A" w:rsidRPr="00BB6F6C" w:rsidRDefault="0007740A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d – diameter of trees, calculated from measured circumference</w:t>
      </w:r>
      <w:r w:rsidR="004D5098" w:rsidRPr="00BB6F6C">
        <w:rPr>
          <w:rFonts w:asciiTheme="majorHAnsi" w:hAnsiTheme="majorHAnsi" w:cstheme="majorHAnsi"/>
          <w:lang w:val="et-EE"/>
        </w:rPr>
        <w:t>, in cm</w:t>
      </w:r>
    </w:p>
    <w:p w14:paraId="155703B9" w14:textId="77777777" w:rsidR="0007740A" w:rsidRPr="00BB6F6C" w:rsidRDefault="0007740A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height – height between the lower part of the hollow entrance and the ground</w:t>
      </w:r>
      <w:r w:rsidR="004D5098" w:rsidRPr="00BB6F6C">
        <w:rPr>
          <w:rFonts w:asciiTheme="majorHAnsi" w:hAnsiTheme="majorHAnsi" w:cstheme="majorHAnsi"/>
          <w:lang w:val="et-EE"/>
        </w:rPr>
        <w:t>, in cm</w:t>
      </w:r>
    </w:p>
    <w:p w14:paraId="4636901F" w14:textId="77777777" w:rsidR="0007740A" w:rsidRPr="00BB6F6C" w:rsidRDefault="0007740A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entrance</w:t>
      </w:r>
      <w:r w:rsidR="004D5098" w:rsidRPr="00BB6F6C">
        <w:rPr>
          <w:rFonts w:asciiTheme="majorHAnsi" w:hAnsiTheme="majorHAnsi" w:cstheme="majorHAnsi"/>
          <w:lang w:val="et-EE"/>
        </w:rPr>
        <w:t xml:space="preserve"> - </w:t>
      </w:r>
      <w:r w:rsidR="004D5098" w:rsidRPr="00BB6F6C">
        <w:rPr>
          <w:rFonts w:asciiTheme="majorHAnsi" w:hAnsiTheme="majorHAnsi" w:cstheme="majorHAnsi"/>
          <w:lang w:val="en-GB"/>
        </w:rPr>
        <w:t xml:space="preserve">measured </w:t>
      </w:r>
      <w:r w:rsidR="004D5098" w:rsidRPr="00BB6F6C">
        <w:rPr>
          <w:rFonts w:asciiTheme="majorHAnsi" w:hAnsiTheme="majorHAnsi" w:cstheme="majorHAnsi"/>
          <w:bCs/>
          <w:lang w:val="en-GB"/>
        </w:rPr>
        <w:t xml:space="preserve">on the basis of the </w:t>
      </w:r>
      <w:r w:rsidR="004D5098" w:rsidRPr="00BB6F6C">
        <w:rPr>
          <w:rFonts w:asciiTheme="majorHAnsi" w:hAnsiTheme="majorHAnsi" w:cstheme="majorHAnsi"/>
          <w:lang w:val="en-GB"/>
        </w:rPr>
        <w:t xml:space="preserve">shape </w:t>
      </w:r>
      <w:r w:rsidR="004D5098" w:rsidRPr="00BB6F6C">
        <w:rPr>
          <w:rFonts w:asciiTheme="majorHAnsi" w:hAnsiTheme="majorHAnsi" w:cstheme="majorHAnsi"/>
          <w:bCs/>
          <w:lang w:val="en-GB"/>
        </w:rPr>
        <w:t xml:space="preserve">they most resembled </w:t>
      </w:r>
      <w:r w:rsidR="004D5098" w:rsidRPr="00BB6F6C">
        <w:rPr>
          <w:rFonts w:asciiTheme="majorHAnsi" w:hAnsiTheme="majorHAnsi" w:cstheme="majorHAnsi"/>
          <w:lang w:val="en-GB"/>
        </w:rPr>
        <w:t>(ellipse, circle, triangle, or rectangle), in dm2</w:t>
      </w:r>
    </w:p>
    <w:p w14:paraId="3643CCC7" w14:textId="77777777" w:rsidR="0007740A" w:rsidRPr="00BB6F6C" w:rsidRDefault="0007740A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direction_degrees</w:t>
      </w:r>
      <w:r w:rsidR="004D5098" w:rsidRPr="00BB6F6C">
        <w:rPr>
          <w:rFonts w:asciiTheme="majorHAnsi" w:hAnsiTheme="majorHAnsi" w:cstheme="majorHAnsi"/>
          <w:lang w:val="et-EE"/>
        </w:rPr>
        <w:t xml:space="preserve"> – the direction holoow entrances are facing</w:t>
      </w:r>
    </w:p>
    <w:p w14:paraId="6213CE20" w14:textId="77777777" w:rsidR="0007740A" w:rsidRPr="00BB6F6C" w:rsidRDefault="0007740A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DIR3</w:t>
      </w:r>
      <w:r w:rsidR="004D5098" w:rsidRPr="00BB6F6C">
        <w:rPr>
          <w:rFonts w:asciiTheme="majorHAnsi" w:hAnsiTheme="majorHAnsi" w:cstheme="majorHAnsi"/>
          <w:lang w:val="et-EE"/>
        </w:rPr>
        <w:t xml:space="preserve"> – categorisized from direction_degrees, </w:t>
      </w:r>
      <w:r w:rsidR="004D5098" w:rsidRPr="00BB6F6C">
        <w:rPr>
          <w:rFonts w:asciiTheme="majorHAnsi" w:hAnsiTheme="majorHAnsi" w:cstheme="majorHAnsi"/>
          <w:lang w:val="en-GB"/>
        </w:rPr>
        <w:t>according to the sun-path diagram</w:t>
      </w:r>
      <w:r w:rsidR="004D5098" w:rsidRPr="00BB6F6C">
        <w:rPr>
          <w:rFonts w:asciiTheme="majorHAnsi" w:hAnsiTheme="majorHAnsi" w:cstheme="majorHAnsi"/>
          <w:bCs/>
          <w:lang w:val="en-GB"/>
        </w:rPr>
        <w:t xml:space="preserve">, considering </w:t>
      </w:r>
      <w:r w:rsidR="004D5098" w:rsidRPr="00BB6F6C">
        <w:rPr>
          <w:rFonts w:asciiTheme="majorHAnsi" w:hAnsiTheme="majorHAnsi" w:cstheme="majorHAnsi"/>
          <w:lang w:val="en-GB"/>
        </w:rPr>
        <w:t xml:space="preserve">the intensity of the </w:t>
      </w:r>
      <w:r w:rsidR="004D5098" w:rsidRPr="00BB6F6C">
        <w:rPr>
          <w:rFonts w:asciiTheme="majorHAnsi" w:hAnsiTheme="majorHAnsi" w:cstheme="majorHAnsi"/>
          <w:bCs/>
          <w:lang w:val="en-GB"/>
        </w:rPr>
        <w:t>sun’s</w:t>
      </w:r>
      <w:r w:rsidR="004D5098" w:rsidRPr="00BB6F6C">
        <w:rPr>
          <w:rFonts w:asciiTheme="majorHAnsi" w:hAnsiTheme="majorHAnsi" w:cstheme="majorHAnsi"/>
          <w:lang w:val="en-GB"/>
        </w:rPr>
        <w:t xml:space="preserve"> irradiation. We divided the circle (360º) into four sections which were numbered according to the distance </w:t>
      </w:r>
      <w:r w:rsidR="004D5098" w:rsidRPr="00BB6F6C">
        <w:rPr>
          <w:rFonts w:asciiTheme="majorHAnsi" w:hAnsiTheme="majorHAnsi" w:cstheme="majorHAnsi"/>
          <w:bCs/>
          <w:lang w:val="en-GB"/>
        </w:rPr>
        <w:t>from south</w:t>
      </w:r>
      <w:r w:rsidR="004D5098" w:rsidRPr="00BB6F6C">
        <w:rPr>
          <w:rFonts w:asciiTheme="majorHAnsi" w:hAnsiTheme="majorHAnsi" w:cstheme="majorHAnsi"/>
          <w:lang w:val="en-GB"/>
        </w:rPr>
        <w:t xml:space="preserve"> (180º), resulting </w:t>
      </w:r>
      <w:r w:rsidR="004D5098" w:rsidRPr="00BB6F6C">
        <w:rPr>
          <w:rFonts w:asciiTheme="majorHAnsi" w:hAnsiTheme="majorHAnsi" w:cstheme="majorHAnsi"/>
          <w:bCs/>
          <w:lang w:val="en-GB"/>
        </w:rPr>
        <w:t>in three</w:t>
      </w:r>
      <w:r w:rsidR="004D5098" w:rsidRPr="00BB6F6C">
        <w:rPr>
          <w:rFonts w:asciiTheme="majorHAnsi" w:hAnsiTheme="majorHAnsi" w:cstheme="majorHAnsi"/>
          <w:lang w:val="en-GB"/>
        </w:rPr>
        <w:t xml:space="preserve"> categories: 1 (136 º - 225 º) being the most </w:t>
      </w:r>
      <w:r w:rsidR="004D5098" w:rsidRPr="00BB6F6C">
        <w:rPr>
          <w:rFonts w:asciiTheme="majorHAnsi" w:hAnsiTheme="majorHAnsi" w:cstheme="majorHAnsi"/>
          <w:bCs/>
          <w:lang w:val="en-GB"/>
        </w:rPr>
        <w:t>southerly, 2 (46 </w:t>
      </w:r>
      <w:r w:rsidR="004D5098" w:rsidRPr="00BB6F6C">
        <w:rPr>
          <w:rFonts w:asciiTheme="majorHAnsi" w:hAnsiTheme="majorHAnsi" w:cstheme="majorHAnsi"/>
          <w:lang w:val="en-GB"/>
        </w:rPr>
        <w:t xml:space="preserve">º </w:t>
      </w:r>
      <w:r w:rsidR="004D5098" w:rsidRPr="00BB6F6C">
        <w:rPr>
          <w:rFonts w:asciiTheme="majorHAnsi" w:hAnsiTheme="majorHAnsi" w:cstheme="majorHAnsi"/>
          <w:bCs/>
          <w:lang w:val="en-GB"/>
        </w:rPr>
        <w:t>- 135 </w:t>
      </w:r>
      <w:r w:rsidR="004D5098" w:rsidRPr="00BB6F6C">
        <w:rPr>
          <w:rFonts w:asciiTheme="majorHAnsi" w:hAnsiTheme="majorHAnsi" w:cstheme="majorHAnsi"/>
          <w:lang w:val="en-GB"/>
        </w:rPr>
        <w:t>º</w:t>
      </w:r>
      <w:r w:rsidR="004D5098" w:rsidRPr="00BB6F6C">
        <w:rPr>
          <w:rFonts w:asciiTheme="majorHAnsi" w:hAnsiTheme="majorHAnsi" w:cstheme="majorHAnsi"/>
          <w:bCs/>
          <w:lang w:val="en-GB"/>
        </w:rPr>
        <w:t xml:space="preserve"> and 226 </w:t>
      </w:r>
      <w:r w:rsidR="004D5098" w:rsidRPr="00BB6F6C">
        <w:rPr>
          <w:rFonts w:asciiTheme="majorHAnsi" w:hAnsiTheme="majorHAnsi" w:cstheme="majorHAnsi"/>
          <w:lang w:val="en-GB"/>
        </w:rPr>
        <w:t xml:space="preserve">º </w:t>
      </w:r>
      <w:r w:rsidR="004D5098" w:rsidRPr="00BB6F6C">
        <w:rPr>
          <w:rFonts w:asciiTheme="majorHAnsi" w:hAnsiTheme="majorHAnsi" w:cstheme="majorHAnsi"/>
          <w:bCs/>
          <w:lang w:val="en-GB"/>
        </w:rPr>
        <w:t>- 315 </w:t>
      </w:r>
      <w:r w:rsidR="004D5098" w:rsidRPr="00BB6F6C">
        <w:rPr>
          <w:rFonts w:asciiTheme="majorHAnsi" w:hAnsiTheme="majorHAnsi" w:cstheme="majorHAnsi"/>
          <w:lang w:val="en-GB"/>
        </w:rPr>
        <w:t>º</w:t>
      </w:r>
      <w:r w:rsidR="004D5098" w:rsidRPr="00BB6F6C">
        <w:rPr>
          <w:rFonts w:asciiTheme="majorHAnsi" w:hAnsiTheme="majorHAnsi" w:cstheme="majorHAnsi"/>
          <w:bCs/>
          <w:lang w:val="en-GB"/>
        </w:rPr>
        <w:t>) east and west,</w:t>
      </w:r>
      <w:r w:rsidR="004D5098" w:rsidRPr="00BB6F6C">
        <w:rPr>
          <w:rFonts w:asciiTheme="majorHAnsi" w:hAnsiTheme="majorHAnsi" w:cstheme="majorHAnsi"/>
          <w:lang w:val="en-GB"/>
        </w:rPr>
        <w:t xml:space="preserve"> and 3 (316 º - 45 º) the most </w:t>
      </w:r>
      <w:r w:rsidR="004D5098" w:rsidRPr="00BB6F6C">
        <w:rPr>
          <w:rFonts w:asciiTheme="majorHAnsi" w:hAnsiTheme="majorHAnsi" w:cstheme="majorHAnsi"/>
          <w:bCs/>
          <w:lang w:val="en-GB"/>
        </w:rPr>
        <w:t>northerly</w:t>
      </w:r>
      <w:r w:rsidR="004D5098" w:rsidRPr="00BB6F6C">
        <w:rPr>
          <w:rFonts w:asciiTheme="majorHAnsi" w:hAnsiTheme="majorHAnsi" w:cstheme="majorHAnsi"/>
          <w:lang w:val="en-GB"/>
        </w:rPr>
        <w:t xml:space="preserve"> direction</w:t>
      </w:r>
    </w:p>
    <w:p w14:paraId="2CD787AE" w14:textId="77777777" w:rsidR="0007740A" w:rsidRPr="00BB6F6C" w:rsidRDefault="0007740A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angle</w:t>
      </w:r>
      <w:r w:rsidR="00294FCE" w:rsidRPr="00BB6F6C">
        <w:rPr>
          <w:rFonts w:asciiTheme="majorHAnsi" w:hAnsiTheme="majorHAnsi" w:cstheme="majorHAnsi"/>
          <w:lang w:val="et-EE"/>
        </w:rPr>
        <w:t xml:space="preserve"> - </w:t>
      </w:r>
      <w:r w:rsidR="00294FCE" w:rsidRPr="00BB6F6C">
        <w:rPr>
          <w:rFonts w:asciiTheme="majorHAnsi" w:hAnsiTheme="majorHAnsi" w:cstheme="majorHAnsi"/>
          <w:i/>
          <w:lang w:val="en-GB"/>
        </w:rPr>
        <w:t>Angle of entrance</w:t>
      </w:r>
      <w:r w:rsidR="00294FCE" w:rsidRPr="00BB6F6C">
        <w:rPr>
          <w:rFonts w:asciiTheme="majorHAnsi" w:hAnsiTheme="majorHAnsi" w:cstheme="majorHAnsi"/>
          <w:lang w:val="en-GB"/>
        </w:rPr>
        <w:t xml:space="preserve"> is </w:t>
      </w:r>
      <w:bookmarkStart w:id="0" w:name="OLE_LINK1"/>
      <w:r w:rsidR="00294FCE" w:rsidRPr="00BB6F6C">
        <w:rPr>
          <w:rFonts w:asciiTheme="majorHAnsi" w:hAnsiTheme="majorHAnsi" w:cstheme="majorHAnsi"/>
          <w:lang w:val="en-GB"/>
        </w:rPr>
        <w:t>the angle between the upper and lower edge of a hollow</w:t>
      </w:r>
      <w:bookmarkEnd w:id="0"/>
      <w:r w:rsidR="00294FCE" w:rsidRPr="00BB6F6C">
        <w:rPr>
          <w:rFonts w:asciiTheme="majorHAnsi" w:hAnsiTheme="majorHAnsi" w:cstheme="majorHAnsi"/>
          <w:lang w:val="en-GB"/>
        </w:rPr>
        <w:t xml:space="preserve"> entrance: the angle was negative when the upper edge was less protruding than the lower edge (generating a higher probability to get wet from rainwater) and positive when not.</w:t>
      </w:r>
    </w:p>
    <w:p w14:paraId="637CE0D2" w14:textId="77777777" w:rsidR="0007740A" w:rsidRPr="00BB6F6C" w:rsidRDefault="0007740A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altitude</w:t>
      </w:r>
      <w:r w:rsidR="00294FCE" w:rsidRPr="00BB6F6C">
        <w:rPr>
          <w:rFonts w:asciiTheme="majorHAnsi" w:hAnsiTheme="majorHAnsi" w:cstheme="majorHAnsi"/>
          <w:lang w:val="et-EE"/>
        </w:rPr>
        <w:t xml:space="preserve"> – the height above the sea level</w:t>
      </w:r>
    </w:p>
    <w:p w14:paraId="48C9C47C" w14:textId="77777777" w:rsidR="0007740A" w:rsidRPr="00BB6F6C" w:rsidRDefault="0007740A" w:rsidP="00BB6F6C">
      <w:pPr>
        <w:spacing w:line="480" w:lineRule="auto"/>
        <w:jc w:val="both"/>
        <w:rPr>
          <w:rFonts w:asciiTheme="majorHAnsi" w:hAnsiTheme="majorHAnsi" w:cstheme="majorHAnsi"/>
          <w:lang w:val="en-GB"/>
        </w:rPr>
      </w:pPr>
      <w:r w:rsidRPr="00BB6F6C">
        <w:rPr>
          <w:rFonts w:asciiTheme="majorHAnsi" w:hAnsiTheme="majorHAnsi" w:cstheme="majorHAnsi"/>
          <w:lang w:val="et-EE"/>
        </w:rPr>
        <w:t>WMV</w:t>
      </w:r>
      <w:r w:rsidR="00294FCE" w:rsidRPr="00BB6F6C">
        <w:rPr>
          <w:rFonts w:asciiTheme="majorHAnsi" w:hAnsiTheme="majorHAnsi" w:cstheme="majorHAnsi"/>
          <w:lang w:val="et-EE"/>
        </w:rPr>
        <w:t xml:space="preserve"> – wood mould volume; </w:t>
      </w:r>
      <w:r w:rsidR="00294FCE" w:rsidRPr="00BB6F6C">
        <w:rPr>
          <w:rFonts w:asciiTheme="majorHAnsi" w:hAnsiTheme="majorHAnsi" w:cstheme="majorHAnsi"/>
          <w:lang w:val="en-GB"/>
        </w:rPr>
        <w:t xml:space="preserve">wood mould surface in hollows were measured </w:t>
      </w:r>
      <w:r w:rsidR="00294FCE" w:rsidRPr="00BB6F6C">
        <w:rPr>
          <w:rFonts w:asciiTheme="majorHAnsi" w:hAnsiTheme="majorHAnsi" w:cstheme="majorHAnsi"/>
          <w:bCs/>
          <w:lang w:val="en-GB"/>
        </w:rPr>
        <w:t xml:space="preserve">on the basis of the </w:t>
      </w:r>
      <w:r w:rsidR="00294FCE" w:rsidRPr="00BB6F6C">
        <w:rPr>
          <w:rFonts w:asciiTheme="majorHAnsi" w:hAnsiTheme="majorHAnsi" w:cstheme="majorHAnsi"/>
          <w:lang w:val="en-GB"/>
        </w:rPr>
        <w:t xml:space="preserve">shape </w:t>
      </w:r>
      <w:r w:rsidR="00294FCE" w:rsidRPr="00BB6F6C">
        <w:rPr>
          <w:rFonts w:asciiTheme="majorHAnsi" w:hAnsiTheme="majorHAnsi" w:cstheme="majorHAnsi"/>
          <w:bCs/>
          <w:lang w:val="en-GB"/>
        </w:rPr>
        <w:t xml:space="preserve">they most resembled </w:t>
      </w:r>
      <w:r w:rsidR="00294FCE" w:rsidRPr="00BB6F6C">
        <w:rPr>
          <w:rFonts w:asciiTheme="majorHAnsi" w:hAnsiTheme="majorHAnsi" w:cstheme="majorHAnsi"/>
          <w:lang w:val="en-GB"/>
        </w:rPr>
        <w:t xml:space="preserve">(ellipse, circle, triangle, or rectangle). The wood mould surface area (S) and the depth of the cavity from the surface (measured with a wooden ruler) were used for calculating </w:t>
      </w:r>
      <w:r w:rsidR="00294FCE" w:rsidRPr="00BB6F6C">
        <w:rPr>
          <w:rFonts w:asciiTheme="majorHAnsi" w:hAnsiTheme="majorHAnsi" w:cstheme="majorHAnsi"/>
          <w:i/>
          <w:lang w:val="en-GB"/>
        </w:rPr>
        <w:t>wood mould volume</w:t>
      </w:r>
      <w:r w:rsidR="00294FCE" w:rsidRPr="00BB6F6C">
        <w:rPr>
          <w:rFonts w:asciiTheme="majorHAnsi" w:hAnsiTheme="majorHAnsi" w:cstheme="majorHAnsi"/>
          <w:lang w:val="en-GB"/>
        </w:rPr>
        <w:t xml:space="preserve"> (V= (depth of cavity × surface area S)/3)</w:t>
      </w:r>
    </w:p>
    <w:p w14:paraId="7F83ADF9" w14:textId="136CDDD2" w:rsidR="0007740A" w:rsidRDefault="0007740A" w:rsidP="00254101">
      <w:pPr>
        <w:rPr>
          <w:rFonts w:asciiTheme="majorHAnsi" w:hAnsiTheme="majorHAnsi" w:cstheme="majorHAnsi"/>
          <w:lang w:val="en-GB"/>
        </w:rPr>
      </w:pPr>
      <w:r w:rsidRPr="00BB6F6C">
        <w:rPr>
          <w:rFonts w:asciiTheme="majorHAnsi" w:hAnsiTheme="majorHAnsi" w:cstheme="majorHAnsi"/>
          <w:lang w:val="et-EE"/>
        </w:rPr>
        <w:t>rh_mean</w:t>
      </w:r>
      <w:r w:rsidR="00294FCE" w:rsidRPr="00BB6F6C">
        <w:rPr>
          <w:rFonts w:asciiTheme="majorHAnsi" w:hAnsiTheme="majorHAnsi" w:cstheme="majorHAnsi"/>
          <w:lang w:val="et-EE"/>
        </w:rPr>
        <w:t xml:space="preserve"> – </w:t>
      </w:r>
      <w:r w:rsidR="00294FCE" w:rsidRPr="00BB6F6C">
        <w:rPr>
          <w:rFonts w:asciiTheme="majorHAnsi" w:hAnsiTheme="majorHAnsi" w:cstheme="majorHAnsi"/>
          <w:lang w:val="en-GB"/>
        </w:rPr>
        <w:t>mean value of volumetric water content of the wood mould measured every second day for one month with a GS3 sensor (Decagon Devices, US) at a depth of 5 cm.</w:t>
      </w:r>
    </w:p>
    <w:p w14:paraId="79B61CFE" w14:textId="77777777" w:rsidR="0007740A" w:rsidRPr="00BB6F6C" w:rsidRDefault="0007740A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rh_min</w:t>
      </w:r>
      <w:r w:rsidR="00294FCE" w:rsidRPr="00BB6F6C">
        <w:rPr>
          <w:rFonts w:asciiTheme="majorHAnsi" w:hAnsiTheme="majorHAnsi" w:cstheme="majorHAnsi"/>
          <w:lang w:val="en-GB"/>
        </w:rPr>
        <w:t xml:space="preserve"> – minimum value of volumetric water content of the wood mould measured every second day for one month with a GS3 sensor (Decagon Devices, US) at a depth of 5 cm.</w:t>
      </w:r>
    </w:p>
    <w:p w14:paraId="5A834012" w14:textId="738ACE1E" w:rsidR="0007740A" w:rsidRPr="004D46F9" w:rsidRDefault="0007740A" w:rsidP="00254101">
      <w:pPr>
        <w:rPr>
          <w:rFonts w:asciiTheme="majorHAnsi" w:hAnsiTheme="majorHAnsi" w:cstheme="majorHAnsi"/>
          <w:lang w:val="en-GB"/>
        </w:rPr>
      </w:pPr>
      <w:r w:rsidRPr="00BB6F6C">
        <w:rPr>
          <w:rFonts w:asciiTheme="majorHAnsi" w:hAnsiTheme="majorHAnsi" w:cstheme="majorHAnsi"/>
          <w:lang w:val="et-EE"/>
        </w:rPr>
        <w:t>rh_max</w:t>
      </w:r>
      <w:r w:rsidR="00294FCE" w:rsidRPr="00BB6F6C">
        <w:rPr>
          <w:rFonts w:asciiTheme="majorHAnsi" w:hAnsiTheme="majorHAnsi" w:cstheme="majorHAnsi"/>
          <w:lang w:val="et-EE"/>
        </w:rPr>
        <w:t xml:space="preserve"> </w:t>
      </w:r>
      <w:r w:rsidR="00294FCE" w:rsidRPr="00BB6F6C">
        <w:rPr>
          <w:rFonts w:asciiTheme="majorHAnsi" w:hAnsiTheme="majorHAnsi" w:cstheme="majorHAnsi"/>
          <w:lang w:val="en-GB"/>
        </w:rPr>
        <w:t>– maximum value of volumetric water content of the wood mould measured every second day for one month with a GS3 sensor (Decagon Devices, US) at a depth of 5 cm.</w:t>
      </w:r>
      <w:r w:rsidR="004D46F9" w:rsidRPr="004D46F9">
        <w:rPr>
          <w:rFonts w:asciiTheme="majorHAnsi" w:hAnsiTheme="majorHAnsi" w:cstheme="majorHAnsi"/>
          <w:lang w:val="en-GB"/>
        </w:rPr>
        <w:t xml:space="preserve"> </w:t>
      </w:r>
      <w:proofErr w:type="spellStart"/>
      <w:r w:rsidR="004D46F9">
        <w:rPr>
          <w:rFonts w:asciiTheme="majorHAnsi" w:hAnsiTheme="majorHAnsi" w:cstheme="majorHAnsi"/>
          <w:lang w:val="en-GB"/>
        </w:rPr>
        <w:lastRenderedPageBreak/>
        <w:t>rh_fluct</w:t>
      </w:r>
      <w:proofErr w:type="spellEnd"/>
      <w:r w:rsidR="004D46F9">
        <w:rPr>
          <w:rFonts w:asciiTheme="majorHAnsi" w:hAnsiTheme="majorHAnsi" w:cstheme="majorHAnsi"/>
          <w:lang w:val="en-GB"/>
        </w:rPr>
        <w:t xml:space="preserve"> - fluctuations</w:t>
      </w:r>
      <w:r w:rsidR="004D46F9" w:rsidRPr="00BB6F6C">
        <w:rPr>
          <w:rFonts w:asciiTheme="majorHAnsi" w:hAnsiTheme="majorHAnsi" w:cstheme="majorHAnsi"/>
          <w:lang w:val="en-GB"/>
        </w:rPr>
        <w:t xml:space="preserve"> of volumetric water content of the wood mould measured every second day for one month with a GS3 sensor (Decagon Devices, US) at a depth of 5 cm.</w:t>
      </w:r>
    </w:p>
    <w:p w14:paraId="783DDFDB" w14:textId="77777777" w:rsidR="0007740A" w:rsidRPr="00BB6F6C" w:rsidRDefault="0007740A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autumn_mean</w:t>
      </w:r>
      <w:r w:rsidR="00294FCE" w:rsidRPr="00BB6F6C">
        <w:rPr>
          <w:rFonts w:asciiTheme="majorHAnsi" w:hAnsiTheme="majorHAnsi" w:cstheme="majorHAnsi"/>
          <w:lang w:val="et-EE"/>
        </w:rPr>
        <w:t xml:space="preserve"> – mean value of daily average temperature measured inside wood mould from the beginning of September to end of November</w:t>
      </w:r>
    </w:p>
    <w:p w14:paraId="78C1D548" w14:textId="77777777" w:rsidR="0007740A" w:rsidRPr="00BB6F6C" w:rsidRDefault="0007740A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autumn_min</w:t>
      </w:r>
      <w:r w:rsidR="00294FCE" w:rsidRPr="00BB6F6C">
        <w:rPr>
          <w:rFonts w:asciiTheme="majorHAnsi" w:hAnsiTheme="majorHAnsi" w:cstheme="majorHAnsi"/>
          <w:lang w:val="et-EE"/>
        </w:rPr>
        <w:t xml:space="preserve"> – average value of daily minimum temperature measured inside wood mould from the beginning of September to end of November</w:t>
      </w:r>
    </w:p>
    <w:p w14:paraId="3F202DC2" w14:textId="77777777" w:rsidR="0007740A" w:rsidRPr="00BB6F6C" w:rsidRDefault="0007740A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autumn_max</w:t>
      </w:r>
      <w:r w:rsidR="00294FCE" w:rsidRPr="00BB6F6C">
        <w:rPr>
          <w:rFonts w:asciiTheme="majorHAnsi" w:hAnsiTheme="majorHAnsi" w:cstheme="majorHAnsi"/>
          <w:lang w:val="et-EE"/>
        </w:rPr>
        <w:t xml:space="preserve"> – average value of daily maximum temperature measured inside wood mould from the beginning of September to end of November</w:t>
      </w:r>
    </w:p>
    <w:p w14:paraId="50883608" w14:textId="77777777" w:rsidR="0007740A" w:rsidRPr="00BB6F6C" w:rsidRDefault="0007740A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autumn_fluct</w:t>
      </w:r>
      <w:r w:rsidR="00294FCE" w:rsidRPr="00BB6F6C">
        <w:rPr>
          <w:rFonts w:asciiTheme="majorHAnsi" w:hAnsiTheme="majorHAnsi" w:cstheme="majorHAnsi"/>
          <w:lang w:val="et-EE"/>
        </w:rPr>
        <w:t xml:space="preserve"> - average value of daily temperature fluctuations (max-min) measured inside wood mould from the beginning of September to end of November</w:t>
      </w:r>
    </w:p>
    <w:p w14:paraId="148DA07C" w14:textId="77777777" w:rsidR="0007740A" w:rsidRPr="00BB6F6C" w:rsidRDefault="0007740A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spring_mean</w:t>
      </w:r>
      <w:r w:rsidR="00294FCE" w:rsidRPr="00BB6F6C">
        <w:rPr>
          <w:rFonts w:asciiTheme="majorHAnsi" w:hAnsiTheme="majorHAnsi" w:cstheme="majorHAnsi"/>
          <w:lang w:val="et-EE"/>
        </w:rPr>
        <w:t xml:space="preserve"> – mean value of daily average temperature measured inside wood mould from the beginning of </w:t>
      </w:r>
      <w:r w:rsidR="0036336E" w:rsidRPr="00BB6F6C">
        <w:rPr>
          <w:rFonts w:asciiTheme="majorHAnsi" w:hAnsiTheme="majorHAnsi" w:cstheme="majorHAnsi"/>
          <w:lang w:val="et-EE"/>
        </w:rPr>
        <w:t>March</w:t>
      </w:r>
      <w:r w:rsidR="00294FCE" w:rsidRPr="00BB6F6C">
        <w:rPr>
          <w:rFonts w:asciiTheme="majorHAnsi" w:hAnsiTheme="majorHAnsi" w:cstheme="majorHAnsi"/>
          <w:lang w:val="et-EE"/>
        </w:rPr>
        <w:t xml:space="preserve"> to end of </w:t>
      </w:r>
      <w:r w:rsidR="0036336E" w:rsidRPr="00BB6F6C">
        <w:rPr>
          <w:rFonts w:asciiTheme="majorHAnsi" w:hAnsiTheme="majorHAnsi" w:cstheme="majorHAnsi"/>
          <w:lang w:val="et-EE"/>
        </w:rPr>
        <w:t>May</w:t>
      </w:r>
    </w:p>
    <w:p w14:paraId="185264C7" w14:textId="77777777" w:rsidR="0007740A" w:rsidRPr="00BB6F6C" w:rsidRDefault="0007740A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spring_min</w:t>
      </w:r>
      <w:r w:rsidR="0036336E" w:rsidRPr="00BB6F6C">
        <w:rPr>
          <w:rFonts w:asciiTheme="majorHAnsi" w:hAnsiTheme="majorHAnsi" w:cstheme="majorHAnsi"/>
          <w:lang w:val="et-EE"/>
        </w:rPr>
        <w:t xml:space="preserve"> – mean value of daily minimim temperature measured inside wood mould from the beginning of March to end of May</w:t>
      </w:r>
    </w:p>
    <w:p w14:paraId="2BF0F4D2" w14:textId="77777777" w:rsidR="0007740A" w:rsidRPr="00BB6F6C" w:rsidRDefault="0007740A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spring_max</w:t>
      </w:r>
      <w:r w:rsidR="0036336E" w:rsidRPr="00BB6F6C">
        <w:rPr>
          <w:rFonts w:asciiTheme="majorHAnsi" w:hAnsiTheme="majorHAnsi" w:cstheme="majorHAnsi"/>
          <w:lang w:val="et-EE"/>
        </w:rPr>
        <w:t xml:space="preserve"> – mean value of daily maximum temperature measured inside wood mould from the beginning of March to end of May</w:t>
      </w:r>
    </w:p>
    <w:p w14:paraId="55ECDD8D" w14:textId="77777777" w:rsidR="0007740A" w:rsidRPr="00BB6F6C" w:rsidRDefault="0007740A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spring_fluct</w:t>
      </w:r>
      <w:r w:rsidR="0036336E" w:rsidRPr="00BB6F6C">
        <w:rPr>
          <w:rFonts w:asciiTheme="majorHAnsi" w:hAnsiTheme="majorHAnsi" w:cstheme="majorHAnsi"/>
          <w:lang w:val="et-EE"/>
        </w:rPr>
        <w:t xml:space="preserve"> – mean value of daily temperature fluctuations (max-min)measured inside wood mould from the beginning of March to end of May</w:t>
      </w:r>
    </w:p>
    <w:p w14:paraId="7AFC4C13" w14:textId="77777777" w:rsidR="0007740A" w:rsidRPr="00BB6F6C" w:rsidRDefault="0007740A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summer_mean</w:t>
      </w:r>
      <w:r w:rsidR="0036336E" w:rsidRPr="00BB6F6C">
        <w:rPr>
          <w:rFonts w:asciiTheme="majorHAnsi" w:hAnsiTheme="majorHAnsi" w:cstheme="majorHAnsi"/>
          <w:lang w:val="et-EE"/>
        </w:rPr>
        <w:t xml:space="preserve"> – mean value of daily average temperature measured inside wood mould from the beginning of June to end of August</w:t>
      </w:r>
    </w:p>
    <w:p w14:paraId="3BFF7DA6" w14:textId="77777777" w:rsidR="0007740A" w:rsidRPr="00BB6F6C" w:rsidRDefault="0007740A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summer_min</w:t>
      </w:r>
      <w:r w:rsidR="0036336E" w:rsidRPr="00BB6F6C">
        <w:rPr>
          <w:rFonts w:asciiTheme="majorHAnsi" w:hAnsiTheme="majorHAnsi" w:cstheme="majorHAnsi"/>
          <w:lang w:val="et-EE"/>
        </w:rPr>
        <w:t xml:space="preserve"> – mean value of daily minimum temperature measured inside wood mould from the beginning of June to end of August</w:t>
      </w:r>
    </w:p>
    <w:p w14:paraId="53840FD0" w14:textId="77777777" w:rsidR="0007740A" w:rsidRPr="00BB6F6C" w:rsidRDefault="0007740A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summer_max</w:t>
      </w:r>
      <w:r w:rsidR="0036336E" w:rsidRPr="00BB6F6C">
        <w:rPr>
          <w:rFonts w:asciiTheme="majorHAnsi" w:hAnsiTheme="majorHAnsi" w:cstheme="majorHAnsi"/>
          <w:lang w:val="et-EE"/>
        </w:rPr>
        <w:t xml:space="preserve"> – mean value of daily maximum temperature measured inside wood mould from the beginning of June to end of August</w:t>
      </w:r>
    </w:p>
    <w:p w14:paraId="0C5F757C" w14:textId="77777777" w:rsidR="0007740A" w:rsidRPr="00BB6F6C" w:rsidRDefault="0007740A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summer_fluct</w:t>
      </w:r>
      <w:r w:rsidR="0036336E" w:rsidRPr="00BB6F6C">
        <w:rPr>
          <w:rFonts w:asciiTheme="majorHAnsi" w:hAnsiTheme="majorHAnsi" w:cstheme="majorHAnsi"/>
          <w:lang w:val="et-EE"/>
        </w:rPr>
        <w:t xml:space="preserve"> – mean value of daily temperature fluctuations (max-min) measured inside wood mould from the beginning of June to end of August</w:t>
      </w:r>
    </w:p>
    <w:p w14:paraId="452ABE22" w14:textId="77777777" w:rsidR="0007740A" w:rsidRPr="00BB6F6C" w:rsidRDefault="0007740A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winter_mean</w:t>
      </w:r>
      <w:r w:rsidR="0036336E" w:rsidRPr="00BB6F6C">
        <w:rPr>
          <w:rFonts w:asciiTheme="majorHAnsi" w:hAnsiTheme="majorHAnsi" w:cstheme="majorHAnsi"/>
          <w:lang w:val="et-EE"/>
        </w:rPr>
        <w:t xml:space="preserve"> – mean value of daily average temperature measured inside wood mould from the beginning of December to end of February</w:t>
      </w:r>
    </w:p>
    <w:p w14:paraId="13CCFF03" w14:textId="77777777" w:rsidR="0007740A" w:rsidRPr="00BB6F6C" w:rsidRDefault="0007740A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winter_min</w:t>
      </w:r>
      <w:r w:rsidR="0036336E" w:rsidRPr="00BB6F6C">
        <w:rPr>
          <w:rFonts w:asciiTheme="majorHAnsi" w:hAnsiTheme="majorHAnsi" w:cstheme="majorHAnsi"/>
          <w:lang w:val="et-EE"/>
        </w:rPr>
        <w:t xml:space="preserve"> – mean value of daily minimum temperature measured inside wood mould from the beginning of December to end of February</w:t>
      </w:r>
    </w:p>
    <w:p w14:paraId="3A5FD5B4" w14:textId="77777777" w:rsidR="0007740A" w:rsidRPr="00BB6F6C" w:rsidRDefault="0007740A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winter_max</w:t>
      </w:r>
      <w:r w:rsidR="0036336E" w:rsidRPr="00BB6F6C">
        <w:rPr>
          <w:rFonts w:asciiTheme="majorHAnsi" w:hAnsiTheme="majorHAnsi" w:cstheme="majorHAnsi"/>
          <w:lang w:val="et-EE"/>
        </w:rPr>
        <w:t xml:space="preserve"> – mean value of daily maximum temperature measured inside wood mould from the beginning of December to end of February</w:t>
      </w:r>
    </w:p>
    <w:p w14:paraId="09963C67" w14:textId="77777777" w:rsidR="0007740A" w:rsidRPr="00BB6F6C" w:rsidRDefault="0007740A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winter_fluct</w:t>
      </w:r>
      <w:r w:rsidR="0036336E" w:rsidRPr="00BB6F6C">
        <w:rPr>
          <w:rFonts w:asciiTheme="majorHAnsi" w:hAnsiTheme="majorHAnsi" w:cstheme="majorHAnsi"/>
          <w:lang w:val="et-EE"/>
        </w:rPr>
        <w:t xml:space="preserve"> – mean value of daily temperature fluctuations (max-min) measured inside wood mould from the beginning of December to end of February</w:t>
      </w:r>
    </w:p>
    <w:p w14:paraId="6397DF02" w14:textId="77777777" w:rsidR="0036336E" w:rsidRPr="00BB6F6C" w:rsidRDefault="0036336E" w:rsidP="0036336E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LC_autumn_mean – mean value of daily average ambient temperature measured from the beginning of September to end of November</w:t>
      </w:r>
    </w:p>
    <w:p w14:paraId="54533448" w14:textId="77777777" w:rsidR="0036336E" w:rsidRPr="00BB6F6C" w:rsidRDefault="0036336E" w:rsidP="0036336E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LC_autumn_min – average value of daily minimum ambient temperature measured from the beginning of September to end of November</w:t>
      </w:r>
    </w:p>
    <w:p w14:paraId="17097EDB" w14:textId="77777777" w:rsidR="0036336E" w:rsidRPr="00BB6F6C" w:rsidRDefault="0036336E" w:rsidP="0036336E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LC_autumn_max – average value of daily maximum ambient temperature measured from the beginning of September to end of November</w:t>
      </w:r>
    </w:p>
    <w:p w14:paraId="62546316" w14:textId="77777777" w:rsidR="0036336E" w:rsidRPr="00BB6F6C" w:rsidRDefault="0036336E" w:rsidP="0036336E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lastRenderedPageBreak/>
        <w:t>LC_autumn_fluct - average value of daily ambient temperature fluctuations (max-min) measured from the beginning of September to end of November</w:t>
      </w:r>
    </w:p>
    <w:p w14:paraId="5A6A206D" w14:textId="77777777" w:rsidR="0036336E" w:rsidRPr="00BB6F6C" w:rsidRDefault="0036336E" w:rsidP="0036336E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LC_spring_mean – mean value of daily average ambient temperature measured from the beginning of March to end of May</w:t>
      </w:r>
    </w:p>
    <w:p w14:paraId="346AE2D8" w14:textId="77777777" w:rsidR="0036336E" w:rsidRPr="00BB6F6C" w:rsidRDefault="0036336E" w:rsidP="0036336E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LC_spring_min – mean value of daily minimim ambient temperature measured from the beginning of March to end of May</w:t>
      </w:r>
    </w:p>
    <w:p w14:paraId="038D4BDE" w14:textId="77777777" w:rsidR="0036336E" w:rsidRPr="00BB6F6C" w:rsidRDefault="0036336E" w:rsidP="0036336E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LC_spring_max – mean value of daily maximum ambient temperature measured from the beginning of March to end of May</w:t>
      </w:r>
    </w:p>
    <w:p w14:paraId="5EA43D7E" w14:textId="77777777" w:rsidR="0036336E" w:rsidRPr="00BB6F6C" w:rsidRDefault="0036336E" w:rsidP="0036336E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LC_spring_fluct – mean value of daily ambient temperature fluctuations (max-min) measured from the beginning of March to end of May</w:t>
      </w:r>
    </w:p>
    <w:p w14:paraId="5DD7ED4D" w14:textId="77777777" w:rsidR="0036336E" w:rsidRPr="00BB6F6C" w:rsidRDefault="0036336E" w:rsidP="0036336E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LC_summer_mean – mean value of daily average ambient temperature measured from the beginning of June to end of August</w:t>
      </w:r>
    </w:p>
    <w:p w14:paraId="3FB79DB5" w14:textId="77777777" w:rsidR="0036336E" w:rsidRPr="00BB6F6C" w:rsidRDefault="0036336E" w:rsidP="0036336E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LC_summer_min – mean value of daily ambient minimum temperature measured from the beginning of June to end of August</w:t>
      </w:r>
    </w:p>
    <w:p w14:paraId="0229F077" w14:textId="77777777" w:rsidR="0036336E" w:rsidRPr="00BB6F6C" w:rsidRDefault="0036336E" w:rsidP="0036336E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LC_summer_max – mean value of daily maximum ambient temperature measured from the beginning of June to end of August</w:t>
      </w:r>
    </w:p>
    <w:p w14:paraId="1DFAB231" w14:textId="77777777" w:rsidR="0036336E" w:rsidRPr="00BB6F6C" w:rsidRDefault="0036336E" w:rsidP="0036336E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LC_summer_fluct – mean value of daily ambient temperature fluctuations (max-min) measured from the beginning of June to end of August</w:t>
      </w:r>
    </w:p>
    <w:p w14:paraId="3592B4AE" w14:textId="77777777" w:rsidR="0036336E" w:rsidRPr="00BB6F6C" w:rsidRDefault="0036336E" w:rsidP="0036336E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LC_winter_mean – mean value of daily average ambient temperature measured from the beginning of December to end of February</w:t>
      </w:r>
    </w:p>
    <w:p w14:paraId="582A4E80" w14:textId="77777777" w:rsidR="0036336E" w:rsidRPr="00BB6F6C" w:rsidRDefault="0036336E" w:rsidP="0036336E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LC_winter_min – mean value of daily minimum ambient temperature measured from the beginning of December to end of February</w:t>
      </w:r>
    </w:p>
    <w:p w14:paraId="6A1275CA" w14:textId="77777777" w:rsidR="0036336E" w:rsidRPr="00BB6F6C" w:rsidRDefault="0036336E" w:rsidP="0036336E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LC_winter_max – mean value of daily maximum ambient temperature measured from the beginning of December to end of February</w:t>
      </w:r>
    </w:p>
    <w:p w14:paraId="613DB8CC" w14:textId="77777777" w:rsidR="0036336E" w:rsidRPr="00BB6F6C" w:rsidRDefault="0036336E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LC_winter_fluct – mean value of daily ambient temperature fluctuations (max-min) measured from the beginning of December to end of February</w:t>
      </w:r>
    </w:p>
    <w:p w14:paraId="17E751F6" w14:textId="77777777" w:rsidR="0036336E" w:rsidRPr="00BB6F6C" w:rsidRDefault="0036336E" w:rsidP="0036336E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L</w:t>
      </w:r>
      <w:r w:rsidR="00D7397F" w:rsidRPr="00BB6F6C">
        <w:rPr>
          <w:rFonts w:asciiTheme="majorHAnsi" w:hAnsiTheme="majorHAnsi" w:cstheme="majorHAnsi"/>
          <w:lang w:val="et-EE"/>
        </w:rPr>
        <w:t>.L</w:t>
      </w:r>
      <w:r w:rsidRPr="00BB6F6C">
        <w:rPr>
          <w:rFonts w:asciiTheme="majorHAnsi" w:hAnsiTheme="majorHAnsi" w:cstheme="majorHAnsi"/>
          <w:lang w:val="et-EE"/>
        </w:rPr>
        <w:t xml:space="preserve">C_autumn_mean – </w:t>
      </w:r>
      <w:r w:rsidR="00D7397F" w:rsidRPr="00BB6F6C">
        <w:rPr>
          <w:rFonts w:asciiTheme="majorHAnsi" w:hAnsiTheme="majorHAnsi" w:cstheme="majorHAnsi"/>
          <w:lang w:val="et-EE"/>
        </w:rPr>
        <w:t xml:space="preserve">difference between </w:t>
      </w:r>
      <w:r w:rsidR="00D7397F" w:rsidRPr="00BB6F6C">
        <w:rPr>
          <w:rFonts w:asciiTheme="majorHAnsi" w:hAnsiTheme="majorHAnsi" w:cstheme="majorHAnsi"/>
          <w:lang w:val="en-GB"/>
        </w:rPr>
        <w:t>average internal temperature and average ambient temperature</w:t>
      </w:r>
      <w:r w:rsidR="00D7397F" w:rsidRPr="00BB6F6C">
        <w:rPr>
          <w:rFonts w:asciiTheme="majorHAnsi" w:hAnsiTheme="majorHAnsi" w:cstheme="majorHAnsi"/>
          <w:lang w:val="et-EE"/>
        </w:rPr>
        <w:t xml:space="preserve"> (internal-ambient) </w:t>
      </w:r>
      <w:r w:rsidRPr="00BB6F6C">
        <w:rPr>
          <w:rFonts w:asciiTheme="majorHAnsi" w:hAnsiTheme="majorHAnsi" w:cstheme="majorHAnsi"/>
          <w:lang w:val="et-EE"/>
        </w:rPr>
        <w:t>measured from the beginning of September to end of November</w:t>
      </w:r>
    </w:p>
    <w:p w14:paraId="20401AC4" w14:textId="77777777" w:rsidR="0036336E" w:rsidRPr="00BB6F6C" w:rsidRDefault="00D7397F" w:rsidP="0036336E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L.</w:t>
      </w:r>
      <w:r w:rsidR="0036336E" w:rsidRPr="00BB6F6C">
        <w:rPr>
          <w:rFonts w:asciiTheme="majorHAnsi" w:hAnsiTheme="majorHAnsi" w:cstheme="majorHAnsi"/>
          <w:lang w:val="et-EE"/>
        </w:rPr>
        <w:t xml:space="preserve">LC_autumn_fluct </w:t>
      </w:r>
      <w:r w:rsidRPr="00BB6F6C">
        <w:rPr>
          <w:rFonts w:asciiTheme="majorHAnsi" w:hAnsiTheme="majorHAnsi" w:cstheme="majorHAnsi"/>
          <w:lang w:val="et-EE"/>
        </w:rPr>
        <w:t>–</w:t>
      </w:r>
      <w:r w:rsidR="0036336E" w:rsidRPr="00BB6F6C">
        <w:rPr>
          <w:rFonts w:asciiTheme="majorHAnsi" w:hAnsiTheme="majorHAnsi" w:cstheme="majorHAnsi"/>
          <w:lang w:val="et-EE"/>
        </w:rPr>
        <w:t xml:space="preserve"> </w:t>
      </w:r>
      <w:r w:rsidRPr="00BB6F6C">
        <w:rPr>
          <w:rFonts w:asciiTheme="majorHAnsi" w:hAnsiTheme="majorHAnsi" w:cstheme="majorHAnsi"/>
          <w:lang w:val="et-EE"/>
        </w:rPr>
        <w:t xml:space="preserve">difference between </w:t>
      </w:r>
      <w:r w:rsidRPr="00BB6F6C">
        <w:rPr>
          <w:rFonts w:asciiTheme="majorHAnsi" w:hAnsiTheme="majorHAnsi" w:cstheme="majorHAnsi"/>
          <w:lang w:val="en-GB"/>
        </w:rPr>
        <w:t>internal and ambient temperature</w:t>
      </w:r>
      <w:r w:rsidRPr="00BB6F6C">
        <w:rPr>
          <w:rFonts w:asciiTheme="majorHAnsi" w:hAnsiTheme="majorHAnsi" w:cstheme="majorHAnsi"/>
          <w:lang w:val="et-EE"/>
        </w:rPr>
        <w:t xml:space="preserve"> (internal-ambient) </w:t>
      </w:r>
      <w:r w:rsidR="0036336E" w:rsidRPr="00BB6F6C">
        <w:rPr>
          <w:rFonts w:asciiTheme="majorHAnsi" w:hAnsiTheme="majorHAnsi" w:cstheme="majorHAnsi"/>
          <w:lang w:val="et-EE"/>
        </w:rPr>
        <w:t>fluctuations (max-min) measured from the beginning of September to end of November</w:t>
      </w:r>
    </w:p>
    <w:p w14:paraId="564FA738" w14:textId="77777777" w:rsidR="0036336E" w:rsidRPr="00BB6F6C" w:rsidRDefault="00D7397F" w:rsidP="0036336E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L.</w:t>
      </w:r>
      <w:r w:rsidR="0036336E" w:rsidRPr="00BB6F6C">
        <w:rPr>
          <w:rFonts w:asciiTheme="majorHAnsi" w:hAnsiTheme="majorHAnsi" w:cstheme="majorHAnsi"/>
          <w:lang w:val="et-EE"/>
        </w:rPr>
        <w:t xml:space="preserve">LC_spring_mean – </w:t>
      </w:r>
      <w:r w:rsidRPr="00BB6F6C">
        <w:rPr>
          <w:rFonts w:asciiTheme="majorHAnsi" w:hAnsiTheme="majorHAnsi" w:cstheme="majorHAnsi"/>
          <w:lang w:val="et-EE"/>
        </w:rPr>
        <w:t xml:space="preserve">difference between </w:t>
      </w:r>
      <w:r w:rsidRPr="00BB6F6C">
        <w:rPr>
          <w:rFonts w:asciiTheme="majorHAnsi" w:hAnsiTheme="majorHAnsi" w:cstheme="majorHAnsi"/>
          <w:lang w:val="en-GB"/>
        </w:rPr>
        <w:t>average internal temperature and average ambient temperature</w:t>
      </w:r>
      <w:r w:rsidRPr="00BB6F6C">
        <w:rPr>
          <w:rFonts w:asciiTheme="majorHAnsi" w:hAnsiTheme="majorHAnsi" w:cstheme="majorHAnsi"/>
          <w:lang w:val="et-EE"/>
        </w:rPr>
        <w:t xml:space="preserve"> (internal-ambient) </w:t>
      </w:r>
      <w:r w:rsidR="0036336E" w:rsidRPr="00BB6F6C">
        <w:rPr>
          <w:rFonts w:asciiTheme="majorHAnsi" w:hAnsiTheme="majorHAnsi" w:cstheme="majorHAnsi"/>
          <w:lang w:val="et-EE"/>
        </w:rPr>
        <w:t>measured from the beginning of March to end of May</w:t>
      </w:r>
    </w:p>
    <w:p w14:paraId="48CEFD43" w14:textId="77777777" w:rsidR="0036336E" w:rsidRPr="00BB6F6C" w:rsidRDefault="00D7397F" w:rsidP="0036336E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L.</w:t>
      </w:r>
      <w:r w:rsidR="0036336E" w:rsidRPr="00BB6F6C">
        <w:rPr>
          <w:rFonts w:asciiTheme="majorHAnsi" w:hAnsiTheme="majorHAnsi" w:cstheme="majorHAnsi"/>
          <w:lang w:val="et-EE"/>
        </w:rPr>
        <w:t xml:space="preserve">LC_spring_fluct – </w:t>
      </w:r>
      <w:r w:rsidRPr="00BB6F6C">
        <w:rPr>
          <w:rFonts w:asciiTheme="majorHAnsi" w:hAnsiTheme="majorHAnsi" w:cstheme="majorHAnsi"/>
          <w:lang w:val="et-EE"/>
        </w:rPr>
        <w:t xml:space="preserve">difference between </w:t>
      </w:r>
      <w:r w:rsidRPr="00BB6F6C">
        <w:rPr>
          <w:rFonts w:asciiTheme="majorHAnsi" w:hAnsiTheme="majorHAnsi" w:cstheme="majorHAnsi"/>
          <w:lang w:val="en-GB"/>
        </w:rPr>
        <w:t>internal and ambient temperature</w:t>
      </w:r>
      <w:r w:rsidRPr="00BB6F6C">
        <w:rPr>
          <w:rFonts w:asciiTheme="majorHAnsi" w:hAnsiTheme="majorHAnsi" w:cstheme="majorHAnsi"/>
          <w:lang w:val="et-EE"/>
        </w:rPr>
        <w:t xml:space="preserve"> (internal-ambient) fluctuations (max-min) </w:t>
      </w:r>
      <w:r w:rsidR="0036336E" w:rsidRPr="00BB6F6C">
        <w:rPr>
          <w:rFonts w:asciiTheme="majorHAnsi" w:hAnsiTheme="majorHAnsi" w:cstheme="majorHAnsi"/>
          <w:lang w:val="et-EE"/>
        </w:rPr>
        <w:t>measured from the beginning of March to end of May</w:t>
      </w:r>
    </w:p>
    <w:p w14:paraId="47D6DF16" w14:textId="77777777" w:rsidR="0036336E" w:rsidRPr="00BB6F6C" w:rsidRDefault="00D7397F" w:rsidP="0036336E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L.</w:t>
      </w:r>
      <w:r w:rsidR="0036336E" w:rsidRPr="00BB6F6C">
        <w:rPr>
          <w:rFonts w:asciiTheme="majorHAnsi" w:hAnsiTheme="majorHAnsi" w:cstheme="majorHAnsi"/>
          <w:lang w:val="et-EE"/>
        </w:rPr>
        <w:t xml:space="preserve">LC_summer_mean – </w:t>
      </w:r>
      <w:r w:rsidRPr="00BB6F6C">
        <w:rPr>
          <w:rFonts w:asciiTheme="majorHAnsi" w:hAnsiTheme="majorHAnsi" w:cstheme="majorHAnsi"/>
          <w:lang w:val="et-EE"/>
        </w:rPr>
        <w:t xml:space="preserve">difference between </w:t>
      </w:r>
      <w:r w:rsidRPr="00BB6F6C">
        <w:rPr>
          <w:rFonts w:asciiTheme="majorHAnsi" w:hAnsiTheme="majorHAnsi" w:cstheme="majorHAnsi"/>
          <w:lang w:val="en-GB"/>
        </w:rPr>
        <w:t>average internal temperature and average ambient temperature</w:t>
      </w:r>
      <w:r w:rsidRPr="00BB6F6C">
        <w:rPr>
          <w:rFonts w:asciiTheme="majorHAnsi" w:hAnsiTheme="majorHAnsi" w:cstheme="majorHAnsi"/>
          <w:lang w:val="et-EE"/>
        </w:rPr>
        <w:t xml:space="preserve"> (internal-ambient) </w:t>
      </w:r>
      <w:r w:rsidR="0036336E" w:rsidRPr="00BB6F6C">
        <w:rPr>
          <w:rFonts w:asciiTheme="majorHAnsi" w:hAnsiTheme="majorHAnsi" w:cstheme="majorHAnsi"/>
          <w:lang w:val="et-EE"/>
        </w:rPr>
        <w:t>measured from the beginning of June to end of August</w:t>
      </w:r>
    </w:p>
    <w:p w14:paraId="1939307A" w14:textId="77777777" w:rsidR="0036336E" w:rsidRPr="00BB6F6C" w:rsidRDefault="00D7397F" w:rsidP="0036336E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lastRenderedPageBreak/>
        <w:t>L.</w:t>
      </w:r>
      <w:r w:rsidR="0036336E" w:rsidRPr="00BB6F6C">
        <w:rPr>
          <w:rFonts w:asciiTheme="majorHAnsi" w:hAnsiTheme="majorHAnsi" w:cstheme="majorHAnsi"/>
          <w:lang w:val="et-EE"/>
        </w:rPr>
        <w:t xml:space="preserve">LC_summer_fluct – </w:t>
      </w:r>
      <w:r w:rsidRPr="00BB6F6C">
        <w:rPr>
          <w:rFonts w:asciiTheme="majorHAnsi" w:hAnsiTheme="majorHAnsi" w:cstheme="majorHAnsi"/>
          <w:lang w:val="et-EE"/>
        </w:rPr>
        <w:t xml:space="preserve">difference between </w:t>
      </w:r>
      <w:r w:rsidRPr="00BB6F6C">
        <w:rPr>
          <w:rFonts w:asciiTheme="majorHAnsi" w:hAnsiTheme="majorHAnsi" w:cstheme="majorHAnsi"/>
          <w:lang w:val="en-GB"/>
        </w:rPr>
        <w:t>internal and ambient temperature</w:t>
      </w:r>
      <w:r w:rsidRPr="00BB6F6C">
        <w:rPr>
          <w:rFonts w:asciiTheme="majorHAnsi" w:hAnsiTheme="majorHAnsi" w:cstheme="majorHAnsi"/>
          <w:lang w:val="et-EE"/>
        </w:rPr>
        <w:t xml:space="preserve"> (internal-ambient) fluctuations (max-min) </w:t>
      </w:r>
      <w:r w:rsidR="0036336E" w:rsidRPr="00BB6F6C">
        <w:rPr>
          <w:rFonts w:asciiTheme="majorHAnsi" w:hAnsiTheme="majorHAnsi" w:cstheme="majorHAnsi"/>
          <w:lang w:val="et-EE"/>
        </w:rPr>
        <w:t>measured from the beginning of June to end of August</w:t>
      </w:r>
    </w:p>
    <w:p w14:paraId="420577DC" w14:textId="77777777" w:rsidR="0036336E" w:rsidRPr="00BB6F6C" w:rsidRDefault="00D7397F" w:rsidP="0036336E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L.</w:t>
      </w:r>
      <w:r w:rsidR="0036336E" w:rsidRPr="00BB6F6C">
        <w:rPr>
          <w:rFonts w:asciiTheme="majorHAnsi" w:hAnsiTheme="majorHAnsi" w:cstheme="majorHAnsi"/>
          <w:lang w:val="et-EE"/>
        </w:rPr>
        <w:t xml:space="preserve">LC_winter_mean – </w:t>
      </w:r>
      <w:r w:rsidRPr="00BB6F6C">
        <w:rPr>
          <w:rFonts w:asciiTheme="majorHAnsi" w:hAnsiTheme="majorHAnsi" w:cstheme="majorHAnsi"/>
          <w:lang w:val="et-EE"/>
        </w:rPr>
        <w:t xml:space="preserve">difference between </w:t>
      </w:r>
      <w:r w:rsidRPr="00BB6F6C">
        <w:rPr>
          <w:rFonts w:asciiTheme="majorHAnsi" w:hAnsiTheme="majorHAnsi" w:cstheme="majorHAnsi"/>
          <w:lang w:val="en-GB"/>
        </w:rPr>
        <w:t>average internal temperature and average ambient temperature</w:t>
      </w:r>
      <w:r w:rsidRPr="00BB6F6C">
        <w:rPr>
          <w:rFonts w:asciiTheme="majorHAnsi" w:hAnsiTheme="majorHAnsi" w:cstheme="majorHAnsi"/>
          <w:lang w:val="et-EE"/>
        </w:rPr>
        <w:t xml:space="preserve"> (internal-ambient) </w:t>
      </w:r>
      <w:r w:rsidR="0036336E" w:rsidRPr="00BB6F6C">
        <w:rPr>
          <w:rFonts w:asciiTheme="majorHAnsi" w:hAnsiTheme="majorHAnsi" w:cstheme="majorHAnsi"/>
          <w:lang w:val="et-EE"/>
        </w:rPr>
        <w:t>measured from the beginning of December to end of February</w:t>
      </w:r>
    </w:p>
    <w:p w14:paraId="66D40DF5" w14:textId="2F123781" w:rsidR="0036336E" w:rsidRDefault="00D7397F" w:rsidP="0036336E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lang w:val="et-EE"/>
        </w:rPr>
        <w:t>L.</w:t>
      </w:r>
      <w:r w:rsidR="0036336E" w:rsidRPr="00BB6F6C">
        <w:rPr>
          <w:rFonts w:asciiTheme="majorHAnsi" w:hAnsiTheme="majorHAnsi" w:cstheme="majorHAnsi"/>
          <w:lang w:val="et-EE"/>
        </w:rPr>
        <w:t xml:space="preserve">LC_winter_fluct – </w:t>
      </w:r>
      <w:r w:rsidRPr="00BB6F6C">
        <w:rPr>
          <w:rFonts w:asciiTheme="majorHAnsi" w:hAnsiTheme="majorHAnsi" w:cstheme="majorHAnsi"/>
          <w:lang w:val="et-EE"/>
        </w:rPr>
        <w:t xml:space="preserve">difference between </w:t>
      </w:r>
      <w:r w:rsidRPr="00BB6F6C">
        <w:rPr>
          <w:rFonts w:asciiTheme="majorHAnsi" w:hAnsiTheme="majorHAnsi" w:cstheme="majorHAnsi"/>
          <w:lang w:val="en-GB"/>
        </w:rPr>
        <w:t>internal and ambient temperature</w:t>
      </w:r>
      <w:r w:rsidRPr="00BB6F6C">
        <w:rPr>
          <w:rFonts w:asciiTheme="majorHAnsi" w:hAnsiTheme="majorHAnsi" w:cstheme="majorHAnsi"/>
          <w:lang w:val="et-EE"/>
        </w:rPr>
        <w:t xml:space="preserve"> (internal-ambient) fluctuations (max-min) </w:t>
      </w:r>
      <w:r w:rsidR="0036336E" w:rsidRPr="00BB6F6C">
        <w:rPr>
          <w:rFonts w:asciiTheme="majorHAnsi" w:hAnsiTheme="majorHAnsi" w:cstheme="majorHAnsi"/>
          <w:lang w:val="et-EE"/>
        </w:rPr>
        <w:t>measured from the beginning of December to end of February</w:t>
      </w:r>
    </w:p>
    <w:p w14:paraId="68E82B33" w14:textId="5E78A53D" w:rsidR="004D46F9" w:rsidRDefault="004D46F9" w:rsidP="0036336E">
      <w:pPr>
        <w:rPr>
          <w:rFonts w:asciiTheme="majorHAnsi" w:hAnsiTheme="majorHAnsi" w:cstheme="majorHAnsi"/>
          <w:lang w:val="et-EE"/>
        </w:rPr>
      </w:pPr>
      <w:r>
        <w:rPr>
          <w:rFonts w:asciiTheme="majorHAnsi" w:hAnsiTheme="majorHAnsi" w:cstheme="majorHAnsi"/>
          <w:lang w:val="et-EE"/>
        </w:rPr>
        <w:t xml:space="preserve">OCC – wheter </w:t>
      </w:r>
      <w:r w:rsidRPr="004D46F9">
        <w:rPr>
          <w:rFonts w:asciiTheme="majorHAnsi" w:hAnsiTheme="majorHAnsi" w:cstheme="majorHAnsi"/>
          <w:i/>
          <w:iCs/>
          <w:lang w:val="et-EE"/>
        </w:rPr>
        <w:t>O. eremita</w:t>
      </w:r>
      <w:r>
        <w:rPr>
          <w:rFonts w:asciiTheme="majorHAnsi" w:hAnsiTheme="majorHAnsi" w:cstheme="majorHAnsi"/>
          <w:lang w:val="et-EE"/>
        </w:rPr>
        <w:t xml:space="preserve"> inhabited the tree (1) or not (19</w:t>
      </w:r>
    </w:p>
    <w:p w14:paraId="556809E6" w14:textId="4A225312" w:rsidR="004D46F9" w:rsidRDefault="004D46F9" w:rsidP="0036336E">
      <w:pPr>
        <w:rPr>
          <w:rFonts w:asciiTheme="majorHAnsi" w:hAnsiTheme="majorHAnsi" w:cstheme="majorHAnsi"/>
          <w:lang w:val="et-EE"/>
        </w:rPr>
      </w:pPr>
      <w:r>
        <w:rPr>
          <w:rFonts w:asciiTheme="majorHAnsi" w:hAnsiTheme="majorHAnsi" w:cstheme="majorHAnsi"/>
          <w:lang w:val="et-EE"/>
        </w:rPr>
        <w:t>POP – calculated estimation of population size in occupied tree, Craig’s model</w:t>
      </w:r>
    </w:p>
    <w:p w14:paraId="21D9AEBC" w14:textId="73D11AA2" w:rsidR="004D46F9" w:rsidRDefault="004D46F9" w:rsidP="0036336E">
      <w:pPr>
        <w:rPr>
          <w:rFonts w:asciiTheme="majorHAnsi" w:hAnsiTheme="majorHAnsi" w:cstheme="majorHAnsi"/>
          <w:lang w:val="et-EE"/>
        </w:rPr>
      </w:pPr>
      <w:r>
        <w:rPr>
          <w:rFonts w:asciiTheme="majorHAnsi" w:hAnsiTheme="majorHAnsi" w:cstheme="majorHAnsi"/>
          <w:lang w:val="et-EE"/>
        </w:rPr>
        <w:t>NO_F – number of females caught in the tree</w:t>
      </w:r>
    </w:p>
    <w:p w14:paraId="6B2A1204" w14:textId="4AE76B9F" w:rsidR="004D46F9" w:rsidRDefault="004D46F9" w:rsidP="0036336E">
      <w:pPr>
        <w:rPr>
          <w:rFonts w:asciiTheme="majorHAnsi" w:hAnsiTheme="majorHAnsi" w:cstheme="majorHAnsi"/>
          <w:lang w:val="et-EE"/>
        </w:rPr>
      </w:pPr>
      <w:r>
        <w:rPr>
          <w:rFonts w:asciiTheme="majorHAnsi" w:hAnsiTheme="majorHAnsi" w:cstheme="majorHAnsi"/>
          <w:lang w:val="et-EE"/>
        </w:rPr>
        <w:t>NO_M – number of males caught in the tree</w:t>
      </w:r>
    </w:p>
    <w:p w14:paraId="2B18960B" w14:textId="516BC673" w:rsidR="004D46F9" w:rsidRDefault="004D46F9" w:rsidP="0036336E">
      <w:pPr>
        <w:rPr>
          <w:rFonts w:asciiTheme="majorHAnsi" w:hAnsiTheme="majorHAnsi" w:cstheme="majorHAnsi"/>
          <w:lang w:val="et-EE"/>
        </w:rPr>
      </w:pPr>
      <w:r>
        <w:rPr>
          <w:rFonts w:asciiTheme="majorHAnsi" w:hAnsiTheme="majorHAnsi" w:cstheme="majorHAnsi"/>
          <w:lang w:val="et-EE"/>
        </w:rPr>
        <w:t>Sexratio – sexratio of the tree,no of females/ no of males</w:t>
      </w:r>
    </w:p>
    <w:p w14:paraId="2EA91CDE" w14:textId="39A5DE84" w:rsidR="004D46F9" w:rsidRDefault="004D46F9" w:rsidP="0036336E">
      <w:pPr>
        <w:rPr>
          <w:rFonts w:asciiTheme="majorHAnsi" w:hAnsiTheme="majorHAnsi" w:cstheme="majorHAnsi"/>
          <w:lang w:val="et-EE"/>
        </w:rPr>
      </w:pPr>
      <w:r>
        <w:rPr>
          <w:rFonts w:asciiTheme="majorHAnsi" w:hAnsiTheme="majorHAnsi" w:cstheme="majorHAnsi"/>
          <w:lang w:val="et-EE"/>
        </w:rPr>
        <w:t>DEV – deviation from expected body length</w:t>
      </w:r>
    </w:p>
    <w:p w14:paraId="2B563A75" w14:textId="6C903AC6" w:rsidR="004D46F9" w:rsidRDefault="004D46F9" w:rsidP="0036336E">
      <w:pPr>
        <w:rPr>
          <w:rFonts w:asciiTheme="majorHAnsi" w:hAnsiTheme="majorHAnsi" w:cstheme="majorHAnsi"/>
          <w:lang w:val="et-EE"/>
        </w:rPr>
      </w:pPr>
      <w:r>
        <w:rPr>
          <w:rFonts w:asciiTheme="majorHAnsi" w:hAnsiTheme="majorHAnsi" w:cstheme="majorHAnsi"/>
          <w:lang w:val="et-EE"/>
        </w:rPr>
        <w:t>BodylengthM – average body length of males in the tree</w:t>
      </w:r>
    </w:p>
    <w:p w14:paraId="742BB969" w14:textId="757C5E9D" w:rsidR="004D46F9" w:rsidRPr="00BB6F6C" w:rsidRDefault="004D46F9" w:rsidP="0036336E">
      <w:pPr>
        <w:rPr>
          <w:rFonts w:asciiTheme="majorHAnsi" w:hAnsiTheme="majorHAnsi" w:cstheme="majorHAnsi"/>
          <w:lang w:val="et-EE"/>
        </w:rPr>
      </w:pPr>
      <w:r>
        <w:rPr>
          <w:rFonts w:asciiTheme="majorHAnsi" w:hAnsiTheme="majorHAnsi" w:cstheme="majorHAnsi"/>
          <w:lang w:val="et-EE"/>
        </w:rPr>
        <w:t>Bodylength</w:t>
      </w:r>
      <w:r>
        <w:rPr>
          <w:rFonts w:asciiTheme="majorHAnsi" w:hAnsiTheme="majorHAnsi" w:cstheme="majorHAnsi"/>
          <w:lang w:val="et-EE"/>
        </w:rPr>
        <w:t>F</w:t>
      </w:r>
      <w:r>
        <w:rPr>
          <w:rFonts w:asciiTheme="majorHAnsi" w:hAnsiTheme="majorHAnsi" w:cstheme="majorHAnsi"/>
          <w:lang w:val="et-EE"/>
        </w:rPr>
        <w:t xml:space="preserve"> – average body length of </w:t>
      </w:r>
      <w:r>
        <w:rPr>
          <w:rFonts w:asciiTheme="majorHAnsi" w:hAnsiTheme="majorHAnsi" w:cstheme="majorHAnsi"/>
          <w:lang w:val="et-EE"/>
        </w:rPr>
        <w:t>females</w:t>
      </w:r>
      <w:r>
        <w:rPr>
          <w:rFonts w:asciiTheme="majorHAnsi" w:hAnsiTheme="majorHAnsi" w:cstheme="majorHAnsi"/>
          <w:lang w:val="et-EE"/>
        </w:rPr>
        <w:t xml:space="preserve"> in the tree</w:t>
      </w:r>
    </w:p>
    <w:p w14:paraId="70286471" w14:textId="77777777" w:rsidR="00A81C65" w:rsidRPr="00BB6F6C" w:rsidRDefault="00A81C65" w:rsidP="00254101">
      <w:pPr>
        <w:rPr>
          <w:rFonts w:asciiTheme="majorHAnsi" w:hAnsiTheme="majorHAnsi" w:cstheme="majorHAnsi"/>
          <w:lang w:val="et-EE"/>
        </w:rPr>
      </w:pPr>
    </w:p>
    <w:p w14:paraId="58A2273B" w14:textId="77777777" w:rsidR="0036336E" w:rsidRPr="00BB6F6C" w:rsidRDefault="00A81C65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u w:val="single"/>
          <w:lang w:val="et-EE"/>
        </w:rPr>
        <w:t>2) Sheet „RH“</w:t>
      </w:r>
      <w:r w:rsidRPr="00BB6F6C">
        <w:rPr>
          <w:rFonts w:asciiTheme="majorHAnsi" w:hAnsiTheme="majorHAnsi" w:cstheme="majorHAnsi"/>
          <w:lang w:val="et-EE"/>
        </w:rPr>
        <w:t xml:space="preserve"> – raw data on volumeric water content of wood mould measured at 5 cm deep every second day from 10th of July to 8th of August. Tree ID in rows, dates in columns.</w:t>
      </w:r>
    </w:p>
    <w:p w14:paraId="5FC7D6BA" w14:textId="77777777" w:rsidR="00A81C65" w:rsidRPr="00BB6F6C" w:rsidRDefault="00A81C65" w:rsidP="00254101">
      <w:pPr>
        <w:rPr>
          <w:rFonts w:asciiTheme="majorHAnsi" w:hAnsiTheme="majorHAnsi" w:cstheme="majorHAnsi"/>
          <w:lang w:val="et-EE"/>
        </w:rPr>
      </w:pPr>
    </w:p>
    <w:p w14:paraId="108584AD" w14:textId="77777777" w:rsidR="00A81C65" w:rsidRDefault="00A81C65" w:rsidP="00254101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u w:val="single"/>
          <w:lang w:val="et-EE"/>
        </w:rPr>
        <w:t>3) Sheet „internal“</w:t>
      </w:r>
      <w:r w:rsidRPr="00BB6F6C">
        <w:rPr>
          <w:rFonts w:asciiTheme="majorHAnsi" w:hAnsiTheme="majorHAnsi" w:cstheme="majorHAnsi"/>
          <w:lang w:val="et-EE"/>
        </w:rPr>
        <w:t xml:space="preserve"> – raw data of temperature recorded every hour measured with data-loggers that were placed inside wood mould. Hour, time, and month indicate the time of the recording. Numbers in the first row indicate Logger IDs.</w:t>
      </w:r>
    </w:p>
    <w:p w14:paraId="6D3F91EC" w14:textId="77777777" w:rsidR="00BB6F6C" w:rsidRPr="00BB6F6C" w:rsidRDefault="00BB6F6C" w:rsidP="00254101">
      <w:pPr>
        <w:rPr>
          <w:rFonts w:asciiTheme="majorHAnsi" w:hAnsiTheme="majorHAnsi" w:cstheme="majorHAnsi"/>
          <w:lang w:val="et-EE"/>
        </w:rPr>
      </w:pPr>
    </w:p>
    <w:p w14:paraId="3ACE09F7" w14:textId="77777777" w:rsidR="00A81C65" w:rsidRPr="00BB6F6C" w:rsidRDefault="00A81C65" w:rsidP="00A81C65">
      <w:pPr>
        <w:rPr>
          <w:rFonts w:asciiTheme="majorHAnsi" w:hAnsiTheme="majorHAnsi" w:cstheme="majorHAnsi"/>
          <w:lang w:val="et-EE"/>
        </w:rPr>
      </w:pPr>
      <w:r w:rsidRPr="00BB6F6C">
        <w:rPr>
          <w:rFonts w:asciiTheme="majorHAnsi" w:hAnsiTheme="majorHAnsi" w:cstheme="majorHAnsi"/>
          <w:u w:val="single"/>
          <w:lang w:val="et-EE"/>
        </w:rPr>
        <w:t>4) Sheet „ambient“</w:t>
      </w:r>
      <w:r w:rsidRPr="00BB6F6C">
        <w:rPr>
          <w:rFonts w:asciiTheme="majorHAnsi" w:hAnsiTheme="majorHAnsi" w:cstheme="majorHAnsi"/>
          <w:lang w:val="et-EE"/>
        </w:rPr>
        <w:t xml:space="preserve"> – raw data of ambient temperature recorded every hour measured with data-loggers at  2.5 m high. Hour, time, and month indicate the time of the recording. Numbers in the first row indicate Logger IDs.</w:t>
      </w:r>
    </w:p>
    <w:p w14:paraId="0D610CB2" w14:textId="77777777" w:rsidR="00A81C65" w:rsidRPr="00BB6F6C" w:rsidRDefault="00A81C65" w:rsidP="00254101">
      <w:pPr>
        <w:rPr>
          <w:rFonts w:asciiTheme="majorHAnsi" w:hAnsiTheme="majorHAnsi" w:cstheme="majorHAnsi"/>
          <w:lang w:val="et-EE"/>
        </w:rPr>
      </w:pPr>
    </w:p>
    <w:p w14:paraId="5F30B279" w14:textId="77777777" w:rsidR="0007740A" w:rsidRPr="00BB6F6C" w:rsidRDefault="0007740A" w:rsidP="00254101">
      <w:pPr>
        <w:rPr>
          <w:rFonts w:asciiTheme="majorHAnsi" w:hAnsiTheme="majorHAnsi" w:cstheme="majorHAnsi"/>
          <w:lang w:val="et-EE"/>
        </w:rPr>
      </w:pPr>
    </w:p>
    <w:sectPr w:rsidR="0007740A" w:rsidRPr="00BB6F6C" w:rsidSect="00F97B62">
      <w:headerReference w:type="even" r:id="rId12"/>
      <w:headerReference w:type="first" r:id="rId13"/>
      <w:pgSz w:w="11906" w:h="16838" w:code="9"/>
      <w:pgMar w:top="1440" w:right="1440" w:bottom="1440" w:left="1440" w:header="851" w:footer="36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094DB67" w14:textId="77777777" w:rsidR="0007740A" w:rsidRDefault="0007740A" w:rsidP="00B65B3A">
      <w:pPr>
        <w:spacing w:after="0" w:line="240" w:lineRule="auto"/>
      </w:pPr>
      <w:r>
        <w:separator/>
      </w:r>
    </w:p>
    <w:p w14:paraId="79B1D3D5" w14:textId="77777777" w:rsidR="0007740A" w:rsidRDefault="0007740A"/>
  </w:endnote>
  <w:endnote w:type="continuationSeparator" w:id="0">
    <w:p w14:paraId="6823AB38" w14:textId="77777777" w:rsidR="0007740A" w:rsidRDefault="0007740A" w:rsidP="00B65B3A">
      <w:pPr>
        <w:spacing w:after="0" w:line="240" w:lineRule="auto"/>
      </w:pPr>
      <w:r>
        <w:continuationSeparator/>
      </w:r>
    </w:p>
    <w:p w14:paraId="3B6C68CC" w14:textId="77777777" w:rsidR="0007740A" w:rsidRDefault="0007740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A3BB36E" w14:textId="77777777" w:rsidR="0007740A" w:rsidRDefault="0007740A" w:rsidP="00B65B3A">
      <w:pPr>
        <w:spacing w:after="0" w:line="240" w:lineRule="auto"/>
      </w:pPr>
      <w:r>
        <w:separator/>
      </w:r>
    </w:p>
  </w:footnote>
  <w:footnote w:type="continuationSeparator" w:id="0">
    <w:p w14:paraId="5D549E25" w14:textId="77777777" w:rsidR="0007740A" w:rsidRDefault="0007740A" w:rsidP="00B65B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6886D4" w14:textId="77777777" w:rsidR="00CD410A" w:rsidRDefault="00CD410A" w:rsidP="00B65B3A">
    <w:pPr>
      <w:pStyle w:val="Header"/>
      <w:spacing w:before="240" w:after="276"/>
    </w:pPr>
  </w:p>
  <w:p w14:paraId="290954F3" w14:textId="77777777" w:rsidR="00CD410A" w:rsidRDefault="00CD410A" w:rsidP="00B65B3A">
    <w:pPr>
      <w:spacing w:after="276"/>
    </w:pPr>
  </w:p>
  <w:p w14:paraId="660CB143" w14:textId="77777777" w:rsidR="00CD410A" w:rsidRDefault="00CD410A"/>
  <w:p w14:paraId="0FF94005" w14:textId="77777777" w:rsidR="00CD410A" w:rsidRDefault="00CD410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930658" w14:textId="77777777" w:rsidR="00CD410A" w:rsidRPr="00B30794" w:rsidRDefault="00CD410A" w:rsidP="0005173A">
    <w:pPr>
      <w:pStyle w:val="Header-info"/>
      <w:spacing w:after="73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88"/>
    <w:multiLevelType w:val="singleLevel"/>
    <w:tmpl w:val="53B83634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FFFFFF89"/>
    <w:multiLevelType w:val="singleLevel"/>
    <w:tmpl w:val="5A027E0A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49D70570"/>
    <w:multiLevelType w:val="hybridMultilevel"/>
    <w:tmpl w:val="09B0083A"/>
    <w:lvl w:ilvl="0" w:tplc="5AB8C884">
      <w:start w:val="1"/>
      <w:numFmt w:val="decimal"/>
      <w:lvlText w:val="%1."/>
      <w:lvlJc w:val="left"/>
      <w:pPr>
        <w:ind w:left="960" w:hanging="60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E54CAF"/>
    <w:multiLevelType w:val="hybridMultilevel"/>
    <w:tmpl w:val="81D4309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linkStyles/>
  <w:stylePaneFormatFilter w:val="D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1"/>
  <w:defaultTabStop w:val="1304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740A"/>
    <w:rsid w:val="00002EF2"/>
    <w:rsid w:val="00017F5C"/>
    <w:rsid w:val="0002287F"/>
    <w:rsid w:val="0003125C"/>
    <w:rsid w:val="0005173A"/>
    <w:rsid w:val="00053E90"/>
    <w:rsid w:val="0007740A"/>
    <w:rsid w:val="000D0FE3"/>
    <w:rsid w:val="000F5E03"/>
    <w:rsid w:val="001231E4"/>
    <w:rsid w:val="001406CC"/>
    <w:rsid w:val="001414D6"/>
    <w:rsid w:val="00152C1E"/>
    <w:rsid w:val="00153304"/>
    <w:rsid w:val="00196B58"/>
    <w:rsid w:val="001A1F63"/>
    <w:rsid w:val="001B155A"/>
    <w:rsid w:val="001C3335"/>
    <w:rsid w:val="001E0C17"/>
    <w:rsid w:val="002169D8"/>
    <w:rsid w:val="002472F4"/>
    <w:rsid w:val="00254101"/>
    <w:rsid w:val="00265D48"/>
    <w:rsid w:val="00266BE1"/>
    <w:rsid w:val="002817AF"/>
    <w:rsid w:val="00294FCE"/>
    <w:rsid w:val="00295FC8"/>
    <w:rsid w:val="002E6AE3"/>
    <w:rsid w:val="003152C4"/>
    <w:rsid w:val="00316A97"/>
    <w:rsid w:val="00346952"/>
    <w:rsid w:val="0036336E"/>
    <w:rsid w:val="00373994"/>
    <w:rsid w:val="00384C8B"/>
    <w:rsid w:val="003B2F68"/>
    <w:rsid w:val="003E5DF0"/>
    <w:rsid w:val="00417F51"/>
    <w:rsid w:val="004210DE"/>
    <w:rsid w:val="004227D9"/>
    <w:rsid w:val="00426CA6"/>
    <w:rsid w:val="004332BF"/>
    <w:rsid w:val="004343E5"/>
    <w:rsid w:val="0045434E"/>
    <w:rsid w:val="00463513"/>
    <w:rsid w:val="004B6550"/>
    <w:rsid w:val="004D46F9"/>
    <w:rsid w:val="004D5098"/>
    <w:rsid w:val="00505276"/>
    <w:rsid w:val="00521C3B"/>
    <w:rsid w:val="0052484B"/>
    <w:rsid w:val="005267B8"/>
    <w:rsid w:val="00574CAE"/>
    <w:rsid w:val="005B5620"/>
    <w:rsid w:val="006049CB"/>
    <w:rsid w:val="0060679E"/>
    <w:rsid w:val="006114A3"/>
    <w:rsid w:val="006323DC"/>
    <w:rsid w:val="00633F86"/>
    <w:rsid w:val="00695E24"/>
    <w:rsid w:val="006C5E84"/>
    <w:rsid w:val="006C7BA1"/>
    <w:rsid w:val="006C7EEC"/>
    <w:rsid w:val="006C7EF6"/>
    <w:rsid w:val="006E4110"/>
    <w:rsid w:val="006F223F"/>
    <w:rsid w:val="007002D7"/>
    <w:rsid w:val="00707ACA"/>
    <w:rsid w:val="007121F4"/>
    <w:rsid w:val="007212EF"/>
    <w:rsid w:val="0077745B"/>
    <w:rsid w:val="00796EB5"/>
    <w:rsid w:val="007B14B8"/>
    <w:rsid w:val="007D4D7A"/>
    <w:rsid w:val="007E4639"/>
    <w:rsid w:val="007E47DA"/>
    <w:rsid w:val="007F3F68"/>
    <w:rsid w:val="007F6F9B"/>
    <w:rsid w:val="00843EA7"/>
    <w:rsid w:val="0084674F"/>
    <w:rsid w:val="00862510"/>
    <w:rsid w:val="00864EFB"/>
    <w:rsid w:val="00890B5B"/>
    <w:rsid w:val="008B35B5"/>
    <w:rsid w:val="008C7FA3"/>
    <w:rsid w:val="008E2971"/>
    <w:rsid w:val="008E2C57"/>
    <w:rsid w:val="008E724E"/>
    <w:rsid w:val="008F24D9"/>
    <w:rsid w:val="009109E8"/>
    <w:rsid w:val="009662BC"/>
    <w:rsid w:val="00A07925"/>
    <w:rsid w:val="00A22A18"/>
    <w:rsid w:val="00A47A74"/>
    <w:rsid w:val="00A73167"/>
    <w:rsid w:val="00A81C65"/>
    <w:rsid w:val="00A82303"/>
    <w:rsid w:val="00A8595D"/>
    <w:rsid w:val="00AA5A49"/>
    <w:rsid w:val="00AC0BC2"/>
    <w:rsid w:val="00AD1A0A"/>
    <w:rsid w:val="00AF5948"/>
    <w:rsid w:val="00B30794"/>
    <w:rsid w:val="00B54D19"/>
    <w:rsid w:val="00B65B3A"/>
    <w:rsid w:val="00BA0E41"/>
    <w:rsid w:val="00BB6F6C"/>
    <w:rsid w:val="00BD281F"/>
    <w:rsid w:val="00BF1046"/>
    <w:rsid w:val="00BF5EBE"/>
    <w:rsid w:val="00C07176"/>
    <w:rsid w:val="00C26923"/>
    <w:rsid w:val="00C32E09"/>
    <w:rsid w:val="00C56D4E"/>
    <w:rsid w:val="00C62AB9"/>
    <w:rsid w:val="00C84384"/>
    <w:rsid w:val="00C87604"/>
    <w:rsid w:val="00CB57EA"/>
    <w:rsid w:val="00CC31D7"/>
    <w:rsid w:val="00CD410A"/>
    <w:rsid w:val="00D00E93"/>
    <w:rsid w:val="00D65A45"/>
    <w:rsid w:val="00D7397F"/>
    <w:rsid w:val="00D83999"/>
    <w:rsid w:val="00DB02E7"/>
    <w:rsid w:val="00DB7E7E"/>
    <w:rsid w:val="00DC260E"/>
    <w:rsid w:val="00DD59D8"/>
    <w:rsid w:val="00DF14CB"/>
    <w:rsid w:val="00E00700"/>
    <w:rsid w:val="00E01AE2"/>
    <w:rsid w:val="00E032A9"/>
    <w:rsid w:val="00E11BD3"/>
    <w:rsid w:val="00E17891"/>
    <w:rsid w:val="00E32A53"/>
    <w:rsid w:val="00E5258F"/>
    <w:rsid w:val="00F05B25"/>
    <w:rsid w:val="00F171CE"/>
    <w:rsid w:val="00F240C5"/>
    <w:rsid w:val="00F36535"/>
    <w:rsid w:val="00F370B7"/>
    <w:rsid w:val="00F616DB"/>
    <w:rsid w:val="00F74F50"/>
    <w:rsid w:val="00F96F2A"/>
    <w:rsid w:val="00F97B62"/>
    <w:rsid w:val="00FD0A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1A10D453"/>
  <w15:chartTrackingRefBased/>
  <w15:docId w15:val="{5F8C54D0-F538-46FE-973B-0041EE345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HAnsi" w:hAnsi="Arial" w:cs="Arial"/>
        <w:color w:val="000000"/>
        <w:sz w:val="24"/>
        <w:szCs w:val="24"/>
        <w:lang w:val="sv-S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qFormat="1"/>
    <w:lsdException w:name="List Number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1"/>
    <w:lsdException w:name="Emphasis" w:uiPriority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10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46F9"/>
    <w:pPr>
      <w:spacing w:after="160" w:line="259" w:lineRule="auto"/>
    </w:pPr>
    <w:rPr>
      <w:rFonts w:asciiTheme="minorHAnsi" w:hAnsiTheme="minorHAnsi" w:cstheme="minorBidi"/>
      <w:color w:val="auto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A81C65"/>
    <w:pPr>
      <w:keepNext/>
      <w:keepLines/>
      <w:suppressAutoHyphens/>
      <w:spacing w:before="600" w:after="100"/>
      <w:outlineLvl w:val="0"/>
    </w:pPr>
    <w:rPr>
      <w:rFonts w:asciiTheme="majorHAnsi" w:eastAsiaTheme="majorEastAsia" w:hAnsiTheme="majorHAnsi" w:cstheme="majorBidi"/>
      <w:bCs/>
      <w:color w:val="000000" w:themeColor="accent1" w:themeShade="BF"/>
      <w:sz w:val="30"/>
      <w:szCs w:val="28"/>
    </w:rPr>
  </w:style>
  <w:style w:type="paragraph" w:styleId="Heading2">
    <w:name w:val="heading 2"/>
    <w:basedOn w:val="Normal"/>
    <w:next w:val="Normal"/>
    <w:link w:val="Heading2Char"/>
    <w:uiPriority w:val="9"/>
    <w:qFormat/>
    <w:rsid w:val="00A81C65"/>
    <w:pPr>
      <w:keepNext/>
      <w:keepLines/>
      <w:suppressAutoHyphens/>
      <w:spacing w:before="500" w:after="80"/>
      <w:outlineLvl w:val="1"/>
    </w:pPr>
    <w:rPr>
      <w:rFonts w:asciiTheme="majorHAnsi" w:eastAsiaTheme="majorEastAsia" w:hAnsiTheme="majorHAnsi" w:cstheme="majorBidi"/>
      <w:bCs/>
      <w:color w:val="000000" w:themeColor="accent1"/>
      <w:szCs w:val="26"/>
    </w:rPr>
  </w:style>
  <w:style w:type="paragraph" w:styleId="Heading3">
    <w:name w:val="heading 3"/>
    <w:basedOn w:val="Normal"/>
    <w:next w:val="Normal"/>
    <w:link w:val="Heading3Char"/>
    <w:uiPriority w:val="9"/>
    <w:qFormat/>
    <w:rsid w:val="00A81C65"/>
    <w:pPr>
      <w:keepNext/>
      <w:keepLines/>
      <w:suppressAutoHyphens/>
      <w:spacing w:before="240" w:after="80"/>
      <w:outlineLvl w:val="2"/>
    </w:pPr>
    <w:rPr>
      <w:rFonts w:eastAsiaTheme="majorEastAsia" w:cstheme="majorBidi"/>
      <w:bCs/>
      <w:i/>
      <w:color w:val="000000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rsid w:val="00A81C65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0000" w:themeColor="accent1"/>
    </w:rPr>
  </w:style>
  <w:style w:type="character" w:default="1" w:styleId="DefaultParagraphFont">
    <w:name w:val="Default Paragraph Font"/>
    <w:uiPriority w:val="1"/>
    <w:semiHidden/>
    <w:unhideWhenUsed/>
    <w:rsid w:val="004D46F9"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4D46F9"/>
  </w:style>
  <w:style w:type="character" w:customStyle="1" w:styleId="Heading1Char">
    <w:name w:val="Heading 1 Char"/>
    <w:basedOn w:val="DefaultParagraphFont"/>
    <w:link w:val="Heading1"/>
    <w:uiPriority w:val="9"/>
    <w:rsid w:val="00A81C65"/>
    <w:rPr>
      <w:rFonts w:asciiTheme="majorHAnsi" w:eastAsiaTheme="majorEastAsia" w:hAnsiTheme="majorHAnsi" w:cstheme="majorBidi"/>
      <w:bCs/>
      <w:color w:val="000000" w:themeColor="accent1" w:themeShade="BF"/>
      <w:sz w:val="30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A81C65"/>
    <w:rPr>
      <w:rFonts w:asciiTheme="majorHAnsi" w:eastAsiaTheme="majorEastAsia" w:hAnsiTheme="majorHAnsi" w:cstheme="majorBidi"/>
      <w:bCs/>
      <w:color w:val="000000" w:themeColor="accent1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A81C65"/>
    <w:rPr>
      <w:rFonts w:eastAsiaTheme="majorEastAsia" w:cstheme="majorBidi"/>
      <w:bCs/>
      <w:i/>
      <w:color w:val="000000" w:themeColor="accent1"/>
    </w:rPr>
  </w:style>
  <w:style w:type="paragraph" w:styleId="Title">
    <w:name w:val="Title"/>
    <w:aliases w:val="Titel/Dokumentnamn"/>
    <w:basedOn w:val="Normal"/>
    <w:next w:val="Normal"/>
    <w:link w:val="TitleChar"/>
    <w:uiPriority w:val="99"/>
    <w:rsid w:val="00A81C65"/>
    <w:pPr>
      <w:keepNext/>
      <w:suppressAutoHyphens/>
      <w:spacing w:before="600" w:after="100" w:line="240" w:lineRule="auto"/>
      <w:contextualSpacing/>
    </w:pPr>
    <w:rPr>
      <w:rFonts w:asciiTheme="majorHAnsi" w:eastAsiaTheme="majorEastAsia" w:hAnsiTheme="majorHAnsi" w:cstheme="majorBidi"/>
      <w:color w:val="000000" w:themeColor="text2" w:themeShade="BF"/>
      <w:spacing w:val="5"/>
      <w:kern w:val="28"/>
      <w:sz w:val="30"/>
      <w:szCs w:val="52"/>
    </w:rPr>
  </w:style>
  <w:style w:type="character" w:customStyle="1" w:styleId="TitleChar">
    <w:name w:val="Title Char"/>
    <w:aliases w:val="Titel/Dokumentnamn Char"/>
    <w:basedOn w:val="DefaultParagraphFont"/>
    <w:link w:val="Title"/>
    <w:uiPriority w:val="99"/>
    <w:rsid w:val="00A81C65"/>
    <w:rPr>
      <w:rFonts w:asciiTheme="majorHAnsi" w:eastAsiaTheme="majorEastAsia" w:hAnsiTheme="majorHAnsi" w:cstheme="majorBidi"/>
      <w:color w:val="000000" w:themeColor="text2" w:themeShade="BF"/>
      <w:spacing w:val="5"/>
      <w:kern w:val="28"/>
      <w:sz w:val="30"/>
      <w:szCs w:val="52"/>
    </w:rPr>
  </w:style>
  <w:style w:type="paragraph" w:styleId="Header">
    <w:name w:val="header"/>
    <w:basedOn w:val="Normal"/>
    <w:link w:val="HeaderChar"/>
    <w:uiPriority w:val="99"/>
    <w:semiHidden/>
    <w:rsid w:val="00A81C65"/>
    <w:pPr>
      <w:tabs>
        <w:tab w:val="center" w:pos="3686"/>
        <w:tab w:val="right" w:pos="9072"/>
      </w:tabs>
      <w:spacing w:after="0" w:line="200" w:lineRule="exact"/>
    </w:pPr>
    <w:rPr>
      <w:rFonts w:asciiTheme="majorHAnsi" w:hAnsiTheme="majorHAnsi"/>
      <w:sz w:val="14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A81C65"/>
    <w:rPr>
      <w:rFonts w:asciiTheme="majorHAnsi" w:hAnsiTheme="majorHAnsi"/>
      <w:sz w:val="14"/>
    </w:rPr>
  </w:style>
  <w:style w:type="paragraph" w:styleId="Footer">
    <w:name w:val="footer"/>
    <w:basedOn w:val="Header"/>
    <w:link w:val="FooterChar"/>
    <w:uiPriority w:val="99"/>
    <w:rsid w:val="00A81C65"/>
    <w:pPr>
      <w:tabs>
        <w:tab w:val="clear" w:pos="3686"/>
        <w:tab w:val="left" w:pos="4111"/>
      </w:tabs>
    </w:pPr>
    <w:rPr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A81C65"/>
    <w:rPr>
      <w:rFonts w:asciiTheme="majorHAnsi" w:hAnsiTheme="majorHAnsi"/>
      <w:sz w:val="14"/>
      <w:lang w:val="en-GB"/>
    </w:rPr>
  </w:style>
  <w:style w:type="character" w:styleId="PlaceholderText">
    <w:name w:val="Placeholder Text"/>
    <w:basedOn w:val="DefaultParagraphFont"/>
    <w:uiPriority w:val="99"/>
    <w:semiHidden/>
    <w:rsid w:val="00A81C65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81C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1C65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A81C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-info">
    <w:name w:val="Header-info"/>
    <w:basedOn w:val="Header"/>
    <w:uiPriority w:val="99"/>
    <w:semiHidden/>
    <w:rsid w:val="00A81C65"/>
    <w:pPr>
      <w:tabs>
        <w:tab w:val="clear" w:pos="9072"/>
        <w:tab w:val="right" w:pos="8789"/>
      </w:tabs>
    </w:pPr>
  </w:style>
  <w:style w:type="character" w:styleId="Hyperlink">
    <w:name w:val="Hyperlink"/>
    <w:basedOn w:val="DefaultParagraphFont"/>
    <w:uiPriority w:val="99"/>
    <w:semiHidden/>
    <w:qFormat/>
    <w:rsid w:val="00A81C65"/>
    <w:rPr>
      <w:color w:val="0000FF"/>
      <w:u w:val="single"/>
    </w:rPr>
  </w:style>
  <w:style w:type="paragraph" w:styleId="TOCHeading">
    <w:name w:val="TOC Heading"/>
    <w:basedOn w:val="Heading1"/>
    <w:next w:val="Normal"/>
    <w:uiPriority w:val="39"/>
    <w:semiHidden/>
    <w:rsid w:val="00A81C65"/>
    <w:pPr>
      <w:pageBreakBefore/>
      <w:suppressAutoHyphens w:val="0"/>
      <w:outlineLvl w:val="9"/>
    </w:pPr>
    <w:rPr>
      <w:lang w:val="en-US" w:eastAsia="ja-JP"/>
    </w:rPr>
  </w:style>
  <w:style w:type="paragraph" w:styleId="Quote">
    <w:name w:val="Quote"/>
    <w:basedOn w:val="Normal"/>
    <w:link w:val="QuoteChar"/>
    <w:uiPriority w:val="10"/>
    <w:qFormat/>
    <w:rsid w:val="00A81C65"/>
    <w:pPr>
      <w:spacing w:after="220"/>
      <w:ind w:left="357"/>
    </w:pPr>
    <w:rPr>
      <w:iCs/>
      <w:color w:val="000000" w:themeColor="text1"/>
      <w:sz w:val="20"/>
    </w:rPr>
  </w:style>
  <w:style w:type="character" w:customStyle="1" w:styleId="QuoteChar">
    <w:name w:val="Quote Char"/>
    <w:basedOn w:val="DefaultParagraphFont"/>
    <w:link w:val="Quote"/>
    <w:uiPriority w:val="10"/>
    <w:rsid w:val="00A81C65"/>
    <w:rPr>
      <w:iCs/>
      <w:color w:val="000000" w:themeColor="text1"/>
      <w:sz w:val="20"/>
    </w:rPr>
  </w:style>
  <w:style w:type="paragraph" w:styleId="TOC1">
    <w:name w:val="toc 1"/>
    <w:basedOn w:val="Normal"/>
    <w:next w:val="Normal"/>
    <w:uiPriority w:val="39"/>
    <w:semiHidden/>
    <w:rsid w:val="00A81C65"/>
    <w:pPr>
      <w:spacing w:beforeLines="100" w:before="100" w:after="0"/>
    </w:pPr>
  </w:style>
  <w:style w:type="paragraph" w:styleId="TOC2">
    <w:name w:val="toc 2"/>
    <w:basedOn w:val="Normal"/>
    <w:next w:val="Normal"/>
    <w:uiPriority w:val="99"/>
    <w:semiHidden/>
    <w:rsid w:val="00A81C65"/>
    <w:pPr>
      <w:spacing w:after="0"/>
      <w:ind w:left="276"/>
    </w:pPr>
  </w:style>
  <w:style w:type="paragraph" w:styleId="TOC3">
    <w:name w:val="toc 3"/>
    <w:basedOn w:val="Normal"/>
    <w:next w:val="Normal"/>
    <w:uiPriority w:val="99"/>
    <w:semiHidden/>
    <w:rsid w:val="00A81C65"/>
    <w:pPr>
      <w:spacing w:after="0"/>
      <w:ind w:left="552"/>
    </w:pPr>
  </w:style>
  <w:style w:type="character" w:styleId="Emphasis">
    <w:name w:val="Emphasis"/>
    <w:basedOn w:val="DefaultParagraphFont"/>
    <w:uiPriority w:val="1"/>
    <w:rsid w:val="00A81C65"/>
    <w:rPr>
      <w:i/>
      <w:iCs/>
    </w:rPr>
  </w:style>
  <w:style w:type="paragraph" w:styleId="TOC4">
    <w:name w:val="toc 4"/>
    <w:basedOn w:val="Normal"/>
    <w:next w:val="Normal"/>
    <w:uiPriority w:val="99"/>
    <w:semiHidden/>
    <w:rsid w:val="00A81C65"/>
    <w:pPr>
      <w:spacing w:after="100"/>
      <w:ind w:left="660"/>
    </w:pPr>
  </w:style>
  <w:style w:type="paragraph" w:styleId="TOC5">
    <w:name w:val="toc 5"/>
    <w:basedOn w:val="Normal"/>
    <w:next w:val="Normal"/>
    <w:uiPriority w:val="99"/>
    <w:semiHidden/>
    <w:rsid w:val="00A81C65"/>
    <w:pPr>
      <w:spacing w:after="100"/>
      <w:ind w:left="880"/>
    </w:pPr>
  </w:style>
  <w:style w:type="paragraph" w:styleId="TOC6">
    <w:name w:val="toc 6"/>
    <w:basedOn w:val="Normal"/>
    <w:next w:val="Normal"/>
    <w:uiPriority w:val="99"/>
    <w:semiHidden/>
    <w:rsid w:val="00A81C65"/>
    <w:pPr>
      <w:spacing w:after="100"/>
      <w:ind w:left="1100"/>
    </w:pPr>
  </w:style>
  <w:style w:type="paragraph" w:styleId="TOC7">
    <w:name w:val="toc 7"/>
    <w:basedOn w:val="Normal"/>
    <w:next w:val="Normal"/>
    <w:uiPriority w:val="99"/>
    <w:semiHidden/>
    <w:rsid w:val="00A81C65"/>
    <w:pPr>
      <w:spacing w:after="100"/>
      <w:ind w:left="1320"/>
    </w:pPr>
  </w:style>
  <w:style w:type="paragraph" w:styleId="TOC8">
    <w:name w:val="toc 8"/>
    <w:basedOn w:val="Normal"/>
    <w:next w:val="Normal"/>
    <w:uiPriority w:val="99"/>
    <w:semiHidden/>
    <w:rsid w:val="00A81C65"/>
    <w:pPr>
      <w:spacing w:after="100"/>
      <w:ind w:left="1540"/>
    </w:pPr>
  </w:style>
  <w:style w:type="paragraph" w:styleId="TOC9">
    <w:name w:val="toc 9"/>
    <w:basedOn w:val="Normal"/>
    <w:next w:val="Normal"/>
    <w:uiPriority w:val="99"/>
    <w:semiHidden/>
    <w:rsid w:val="00A81C65"/>
    <w:pPr>
      <w:spacing w:after="100"/>
      <w:ind w:left="1760"/>
    </w:pPr>
  </w:style>
  <w:style w:type="table" w:customStyle="1" w:styleId="Trelinjerstabell">
    <w:name w:val="Trelinjerstabell"/>
    <w:basedOn w:val="TableNormal"/>
    <w:uiPriority w:val="99"/>
    <w:rsid w:val="00A81C65"/>
    <w:pPr>
      <w:spacing w:after="0" w:line="240" w:lineRule="auto"/>
      <w:contextualSpacing/>
    </w:pPr>
    <w:rPr>
      <w:rFonts w:asciiTheme="majorHAnsi" w:hAnsiTheme="majorHAnsi"/>
      <w:sz w:val="20"/>
    </w:rPr>
    <w:tblPr>
      <w:tblBorders>
        <w:top w:val="single" w:sz="4" w:space="0" w:color="auto"/>
        <w:bottom w:val="single" w:sz="4" w:space="0" w:color="auto"/>
      </w:tblBorders>
      <w:tblCellMar>
        <w:top w:w="57" w:type="dxa"/>
        <w:left w:w="0" w:type="dxa"/>
        <w:bottom w:w="57" w:type="dxa"/>
        <w:right w:w="0" w:type="dxa"/>
      </w:tblCellMar>
    </w:tblPr>
    <w:tblStylePr w:type="firstRow">
      <w:rPr>
        <w:b/>
      </w:rPr>
      <w:tblPr/>
      <w:tcPr>
        <w:tcBorders>
          <w:bottom w:val="single" w:sz="4" w:space="0" w:color="auto"/>
        </w:tcBorders>
      </w:tcPr>
    </w:tblStylePr>
    <w:tblStylePr w:type="lastRow">
      <w:tblPr/>
      <w:tcPr>
        <w:tcBorders>
          <w:top w:val="single" w:sz="4" w:space="0" w:color="auto"/>
          <w:left w:val="nil"/>
          <w:bottom w:val="single" w:sz="4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LightShading">
    <w:name w:val="Light Shading"/>
    <w:basedOn w:val="Trelinjerstabell"/>
    <w:uiPriority w:val="60"/>
    <w:rsid w:val="00A81C65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2">
    <w:name w:val="Light Shading Accent 2"/>
    <w:basedOn w:val="Trelinjerstabell"/>
    <w:uiPriority w:val="60"/>
    <w:rsid w:val="00A81C65"/>
    <w:rPr>
      <w:color w:val="9D6900" w:themeColor="accent2" w:themeShade="BF"/>
    </w:rPr>
    <w:tblPr>
      <w:tblStyleRowBandSize w:val="1"/>
      <w:tblStyleColBandSize w:val="1"/>
      <w:tblBorders>
        <w:top w:val="single" w:sz="8" w:space="0" w:color="D28E00" w:themeColor="accent2"/>
        <w:bottom w:val="single" w:sz="8" w:space="0" w:color="D28E00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28E00" w:themeColor="accent2"/>
          <w:left w:val="nil"/>
          <w:bottom w:val="single" w:sz="8" w:space="0" w:color="D28E00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28E00" w:themeColor="accent2"/>
          <w:left w:val="nil"/>
          <w:bottom w:val="single" w:sz="8" w:space="0" w:color="D28E00" w:themeColor="accent2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6B4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E6B4" w:themeFill="accent2" w:themeFillTint="3F"/>
      </w:tcPr>
    </w:tblStylePr>
  </w:style>
  <w:style w:type="table" w:styleId="LightShading-Accent1">
    <w:name w:val="Light Shading Accent 1"/>
    <w:basedOn w:val="Trelinjerstabell"/>
    <w:uiPriority w:val="60"/>
    <w:rsid w:val="00A81C65"/>
    <w:rPr>
      <w:color w:val="000000" w:themeColor="accent1" w:themeShade="BF"/>
    </w:rPr>
    <w:tblPr>
      <w:tblStyleRowBandSize w:val="1"/>
      <w:tblStyleColBandSize w:val="1"/>
      <w:tblBorders>
        <w:top w:val="single" w:sz="8" w:space="0" w:color="000000" w:themeColor="accent1"/>
        <w:bottom w:val="single" w:sz="8" w:space="0" w:color="000000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accent1"/>
          <w:left w:val="nil"/>
          <w:bottom w:val="single" w:sz="8" w:space="0" w:color="000000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accent1"/>
          <w:left w:val="nil"/>
          <w:bottom w:val="single" w:sz="8" w:space="0" w:color="000000" w:themeColor="accent1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accent1" w:themeFillTint="3F"/>
      </w:tcPr>
    </w:tblStylePr>
  </w:style>
  <w:style w:type="table" w:styleId="LightShading-Accent3">
    <w:name w:val="Light Shading Accent 3"/>
    <w:basedOn w:val="Trelinjerstabell"/>
    <w:uiPriority w:val="60"/>
    <w:rsid w:val="00A81C65"/>
    <w:rPr>
      <w:color w:val="743C9E" w:themeColor="accent3" w:themeShade="BF"/>
    </w:rPr>
    <w:tblPr>
      <w:tblStyleRowBandSize w:val="1"/>
      <w:tblStyleColBandSize w:val="1"/>
      <w:tblBorders>
        <w:top w:val="single" w:sz="8" w:space="0" w:color="9961C3" w:themeColor="accent3"/>
        <w:bottom w:val="single" w:sz="8" w:space="0" w:color="9961C3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961C3" w:themeColor="accent3"/>
          <w:left w:val="nil"/>
          <w:bottom w:val="single" w:sz="8" w:space="0" w:color="9961C3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961C3" w:themeColor="accent3"/>
          <w:left w:val="nil"/>
          <w:bottom w:val="single" w:sz="8" w:space="0" w:color="9961C3" w:themeColor="accent3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D7F0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5D7F0" w:themeFill="accent3" w:themeFillTint="3F"/>
      </w:tcPr>
    </w:tblStylePr>
  </w:style>
  <w:style w:type="table" w:styleId="LightShading-Accent4">
    <w:name w:val="Light Shading Accent 4"/>
    <w:basedOn w:val="Trelinjerstabell"/>
    <w:uiPriority w:val="60"/>
    <w:rsid w:val="00A81C65"/>
    <w:rPr>
      <w:color w:val="419EBC" w:themeColor="accent4" w:themeShade="BF"/>
    </w:rPr>
    <w:tblPr>
      <w:tblStyleRowBandSize w:val="1"/>
      <w:tblStyleColBandSize w:val="1"/>
      <w:tblBorders>
        <w:top w:val="single" w:sz="8" w:space="0" w:color="80BFD3" w:themeColor="accent4"/>
        <w:bottom w:val="single" w:sz="8" w:space="0" w:color="80BFD3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BFD3" w:themeColor="accent4"/>
          <w:left w:val="nil"/>
          <w:bottom w:val="single" w:sz="8" w:space="0" w:color="80BFD3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BFD3" w:themeColor="accent4"/>
          <w:left w:val="nil"/>
          <w:bottom w:val="single" w:sz="8" w:space="0" w:color="80BFD3" w:themeColor="accent4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EFF4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EFF4" w:themeFill="accent4" w:themeFillTint="3F"/>
      </w:tcPr>
    </w:tblStylePr>
  </w:style>
  <w:style w:type="table" w:styleId="LightShading-Accent5">
    <w:name w:val="Light Shading Accent 5"/>
    <w:basedOn w:val="Trelinjerstabell"/>
    <w:uiPriority w:val="60"/>
    <w:rsid w:val="00A81C65"/>
    <w:rPr>
      <w:color w:val="C0BB2E" w:themeColor="accent5" w:themeShade="BF"/>
    </w:rPr>
    <w:tblPr>
      <w:tblStyleRowBandSize w:val="1"/>
      <w:tblStyleColBandSize w:val="1"/>
      <w:tblBorders>
        <w:top w:val="single" w:sz="8" w:space="0" w:color="DAD666" w:themeColor="accent5"/>
        <w:bottom w:val="single" w:sz="8" w:space="0" w:color="DAD66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AD666" w:themeColor="accent5"/>
          <w:left w:val="nil"/>
          <w:bottom w:val="single" w:sz="8" w:space="0" w:color="DAD66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AD666" w:themeColor="accent5"/>
          <w:left w:val="nil"/>
          <w:bottom w:val="single" w:sz="8" w:space="0" w:color="DAD666" w:themeColor="accent5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6F4D9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6F4D9" w:themeFill="accent5" w:themeFillTint="3F"/>
      </w:tcPr>
    </w:tblStylePr>
  </w:style>
  <w:style w:type="table" w:styleId="LightShading-Accent6">
    <w:name w:val="Light Shading Accent 6"/>
    <w:basedOn w:val="Trelinjerstabell"/>
    <w:uiPriority w:val="60"/>
    <w:rsid w:val="00A81C65"/>
    <w:rPr>
      <w:color w:val="48494B" w:themeColor="accent6" w:themeShade="BF"/>
    </w:rPr>
    <w:tblPr>
      <w:tblStyleRowBandSize w:val="1"/>
      <w:tblStyleColBandSize w:val="1"/>
      <w:tblBorders>
        <w:top w:val="single" w:sz="8" w:space="0" w:color="616265" w:themeColor="accent6"/>
        <w:bottom w:val="single" w:sz="8" w:space="0" w:color="616265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16265" w:themeColor="accent6"/>
          <w:left w:val="nil"/>
          <w:bottom w:val="single" w:sz="8" w:space="0" w:color="616265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16265" w:themeColor="accent6"/>
          <w:left w:val="nil"/>
          <w:bottom w:val="single" w:sz="8" w:space="0" w:color="616265" w:themeColor="accent6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9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7D7D9" w:themeFill="accent6" w:themeFillTint="3F"/>
      </w:tcPr>
    </w:tblStylePr>
  </w:style>
  <w:style w:type="table" w:styleId="LightList">
    <w:name w:val="Light List"/>
    <w:basedOn w:val="Trelinjerstabell"/>
    <w:uiPriority w:val="61"/>
    <w:rsid w:val="00A81C65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bottom w:val="single" w:sz="4" w:space="0" w:color="auto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relinjerstabell"/>
    <w:uiPriority w:val="61"/>
    <w:rsid w:val="00A81C65"/>
    <w:tblPr>
      <w:tblStyleRowBandSize w:val="1"/>
      <w:tblStyleColBandSize w:val="1"/>
      <w:tblBorders>
        <w:top w:val="single" w:sz="8" w:space="0" w:color="000000" w:themeColor="accent1"/>
        <w:left w:val="single" w:sz="8" w:space="0" w:color="000000" w:themeColor="accent1"/>
        <w:bottom w:val="single" w:sz="8" w:space="0" w:color="000000" w:themeColor="accent1"/>
        <w:right w:val="single" w:sz="8" w:space="0" w:color="000000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bottom w:val="single" w:sz="4" w:space="0" w:color="auto"/>
        </w:tcBorders>
        <w:shd w:val="clear" w:color="auto" w:fill="000000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accent1"/>
          <w:left w:val="single" w:sz="8" w:space="0" w:color="000000" w:themeColor="accent1"/>
          <w:bottom w:val="single" w:sz="8" w:space="0" w:color="000000" w:themeColor="accent1"/>
          <w:right w:val="single" w:sz="8" w:space="0" w:color="000000" w:themeColor="accent1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accent1"/>
          <w:left w:val="single" w:sz="8" w:space="0" w:color="000000" w:themeColor="accent1"/>
          <w:bottom w:val="single" w:sz="8" w:space="0" w:color="000000" w:themeColor="accent1"/>
          <w:right w:val="single" w:sz="8" w:space="0" w:color="000000" w:themeColor="accent1"/>
        </w:tcBorders>
      </w:tcPr>
    </w:tblStylePr>
    <w:tblStylePr w:type="band1Horz">
      <w:tblPr/>
      <w:tcPr>
        <w:tcBorders>
          <w:top w:val="single" w:sz="8" w:space="0" w:color="000000" w:themeColor="accent1"/>
          <w:left w:val="single" w:sz="8" w:space="0" w:color="000000" w:themeColor="accent1"/>
          <w:bottom w:val="single" w:sz="8" w:space="0" w:color="000000" w:themeColor="accent1"/>
          <w:right w:val="single" w:sz="8" w:space="0" w:color="000000" w:themeColor="accent1"/>
        </w:tcBorders>
      </w:tcPr>
    </w:tblStylePr>
  </w:style>
  <w:style w:type="table" w:styleId="LightList-Accent2">
    <w:name w:val="Light List Accent 2"/>
    <w:basedOn w:val="Trelinjerstabell"/>
    <w:uiPriority w:val="61"/>
    <w:rsid w:val="00A81C65"/>
    <w:tblPr>
      <w:tblStyleRowBandSize w:val="1"/>
      <w:tblStyleColBandSize w:val="1"/>
      <w:tblBorders>
        <w:top w:val="single" w:sz="8" w:space="0" w:color="D28E00" w:themeColor="accent2"/>
        <w:left w:val="single" w:sz="8" w:space="0" w:color="D28E00" w:themeColor="accent2"/>
        <w:bottom w:val="single" w:sz="8" w:space="0" w:color="D28E00" w:themeColor="accent2"/>
        <w:right w:val="single" w:sz="8" w:space="0" w:color="D28E00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bottom w:val="single" w:sz="4" w:space="0" w:color="auto"/>
        </w:tcBorders>
        <w:shd w:val="clear" w:color="auto" w:fill="D28E00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28E00" w:themeColor="accent2"/>
          <w:left w:val="single" w:sz="8" w:space="0" w:color="D28E00" w:themeColor="accent2"/>
          <w:bottom w:val="single" w:sz="8" w:space="0" w:color="D28E00" w:themeColor="accent2"/>
          <w:right w:val="single" w:sz="8" w:space="0" w:color="D28E00" w:themeColor="accent2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D28E00" w:themeColor="accent2"/>
          <w:left w:val="single" w:sz="8" w:space="0" w:color="D28E00" w:themeColor="accent2"/>
          <w:bottom w:val="single" w:sz="8" w:space="0" w:color="D28E00" w:themeColor="accent2"/>
          <w:right w:val="single" w:sz="8" w:space="0" w:color="D28E00" w:themeColor="accent2"/>
        </w:tcBorders>
      </w:tcPr>
    </w:tblStylePr>
    <w:tblStylePr w:type="band1Horz">
      <w:tblPr/>
      <w:tcPr>
        <w:tcBorders>
          <w:top w:val="single" w:sz="8" w:space="0" w:color="D28E00" w:themeColor="accent2"/>
          <w:left w:val="single" w:sz="8" w:space="0" w:color="D28E00" w:themeColor="accent2"/>
          <w:bottom w:val="single" w:sz="8" w:space="0" w:color="D28E00" w:themeColor="accent2"/>
          <w:right w:val="single" w:sz="8" w:space="0" w:color="D28E00" w:themeColor="accent2"/>
        </w:tcBorders>
      </w:tcPr>
    </w:tblStylePr>
  </w:style>
  <w:style w:type="table" w:styleId="LightList-Accent3">
    <w:name w:val="Light List Accent 3"/>
    <w:basedOn w:val="Trelinjerstabell"/>
    <w:uiPriority w:val="61"/>
    <w:rsid w:val="00A81C65"/>
    <w:tblPr>
      <w:tblStyleRowBandSize w:val="1"/>
      <w:tblStyleColBandSize w:val="1"/>
      <w:tblBorders>
        <w:top w:val="single" w:sz="8" w:space="0" w:color="9961C3" w:themeColor="accent3"/>
        <w:left w:val="single" w:sz="8" w:space="0" w:color="9961C3" w:themeColor="accent3"/>
        <w:bottom w:val="single" w:sz="8" w:space="0" w:color="9961C3" w:themeColor="accent3"/>
        <w:right w:val="single" w:sz="8" w:space="0" w:color="9961C3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bottom w:val="single" w:sz="4" w:space="0" w:color="auto"/>
        </w:tcBorders>
        <w:shd w:val="clear" w:color="auto" w:fill="9961C3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961C3" w:themeColor="accent3"/>
          <w:left w:val="single" w:sz="8" w:space="0" w:color="9961C3" w:themeColor="accent3"/>
          <w:bottom w:val="single" w:sz="8" w:space="0" w:color="9961C3" w:themeColor="accent3"/>
          <w:right w:val="single" w:sz="8" w:space="0" w:color="9961C3" w:themeColor="accent3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961C3" w:themeColor="accent3"/>
          <w:left w:val="single" w:sz="8" w:space="0" w:color="9961C3" w:themeColor="accent3"/>
          <w:bottom w:val="single" w:sz="8" w:space="0" w:color="9961C3" w:themeColor="accent3"/>
          <w:right w:val="single" w:sz="8" w:space="0" w:color="9961C3" w:themeColor="accent3"/>
        </w:tcBorders>
      </w:tcPr>
    </w:tblStylePr>
    <w:tblStylePr w:type="band1Horz">
      <w:tblPr/>
      <w:tcPr>
        <w:tcBorders>
          <w:top w:val="single" w:sz="8" w:space="0" w:color="9961C3" w:themeColor="accent3"/>
          <w:left w:val="single" w:sz="8" w:space="0" w:color="9961C3" w:themeColor="accent3"/>
          <w:bottom w:val="single" w:sz="8" w:space="0" w:color="9961C3" w:themeColor="accent3"/>
          <w:right w:val="single" w:sz="8" w:space="0" w:color="9961C3" w:themeColor="accent3"/>
        </w:tcBorders>
      </w:tcPr>
    </w:tblStylePr>
  </w:style>
  <w:style w:type="table" w:styleId="LightList-Accent4">
    <w:name w:val="Light List Accent 4"/>
    <w:basedOn w:val="Trelinjerstabell"/>
    <w:uiPriority w:val="61"/>
    <w:rsid w:val="00A81C65"/>
    <w:tblPr>
      <w:tblStyleRowBandSize w:val="1"/>
      <w:tblStyleColBandSize w:val="1"/>
      <w:tblBorders>
        <w:top w:val="single" w:sz="8" w:space="0" w:color="80BFD3" w:themeColor="accent4"/>
        <w:left w:val="single" w:sz="8" w:space="0" w:color="80BFD3" w:themeColor="accent4"/>
        <w:bottom w:val="single" w:sz="8" w:space="0" w:color="80BFD3" w:themeColor="accent4"/>
        <w:right w:val="single" w:sz="8" w:space="0" w:color="80BFD3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bottom w:val="single" w:sz="4" w:space="0" w:color="auto"/>
        </w:tcBorders>
        <w:shd w:val="clear" w:color="auto" w:fill="80BFD3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BFD3" w:themeColor="accent4"/>
          <w:left w:val="single" w:sz="8" w:space="0" w:color="80BFD3" w:themeColor="accent4"/>
          <w:bottom w:val="single" w:sz="8" w:space="0" w:color="80BFD3" w:themeColor="accent4"/>
          <w:right w:val="single" w:sz="8" w:space="0" w:color="80BFD3" w:themeColor="accent4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BFD3" w:themeColor="accent4"/>
          <w:left w:val="single" w:sz="8" w:space="0" w:color="80BFD3" w:themeColor="accent4"/>
          <w:bottom w:val="single" w:sz="8" w:space="0" w:color="80BFD3" w:themeColor="accent4"/>
          <w:right w:val="single" w:sz="8" w:space="0" w:color="80BFD3" w:themeColor="accent4"/>
        </w:tcBorders>
      </w:tcPr>
    </w:tblStylePr>
    <w:tblStylePr w:type="band1Horz">
      <w:tblPr/>
      <w:tcPr>
        <w:tcBorders>
          <w:top w:val="single" w:sz="8" w:space="0" w:color="80BFD3" w:themeColor="accent4"/>
          <w:left w:val="single" w:sz="8" w:space="0" w:color="80BFD3" w:themeColor="accent4"/>
          <w:bottom w:val="single" w:sz="8" w:space="0" w:color="80BFD3" w:themeColor="accent4"/>
          <w:right w:val="single" w:sz="8" w:space="0" w:color="80BFD3" w:themeColor="accent4"/>
        </w:tcBorders>
      </w:tcPr>
    </w:tblStylePr>
  </w:style>
  <w:style w:type="table" w:styleId="LightList-Accent5">
    <w:name w:val="Light List Accent 5"/>
    <w:basedOn w:val="Trelinjerstabell"/>
    <w:uiPriority w:val="61"/>
    <w:rsid w:val="00A81C65"/>
    <w:tblPr>
      <w:tblStyleRowBandSize w:val="1"/>
      <w:tblStyleColBandSize w:val="1"/>
      <w:tblBorders>
        <w:top w:val="single" w:sz="8" w:space="0" w:color="DAD666" w:themeColor="accent5"/>
        <w:left w:val="single" w:sz="8" w:space="0" w:color="DAD666" w:themeColor="accent5"/>
        <w:bottom w:val="single" w:sz="8" w:space="0" w:color="DAD666" w:themeColor="accent5"/>
        <w:right w:val="single" w:sz="8" w:space="0" w:color="DAD66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bottom w:val="single" w:sz="4" w:space="0" w:color="auto"/>
        </w:tcBorders>
        <w:shd w:val="clear" w:color="auto" w:fill="DAD66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AD666" w:themeColor="accent5"/>
          <w:left w:val="single" w:sz="8" w:space="0" w:color="DAD666" w:themeColor="accent5"/>
          <w:bottom w:val="single" w:sz="8" w:space="0" w:color="DAD666" w:themeColor="accent5"/>
          <w:right w:val="single" w:sz="8" w:space="0" w:color="DAD666" w:themeColor="accent5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DAD666" w:themeColor="accent5"/>
          <w:left w:val="single" w:sz="8" w:space="0" w:color="DAD666" w:themeColor="accent5"/>
          <w:bottom w:val="single" w:sz="8" w:space="0" w:color="DAD666" w:themeColor="accent5"/>
          <w:right w:val="single" w:sz="8" w:space="0" w:color="DAD666" w:themeColor="accent5"/>
        </w:tcBorders>
      </w:tcPr>
    </w:tblStylePr>
    <w:tblStylePr w:type="band1Horz">
      <w:tblPr/>
      <w:tcPr>
        <w:tcBorders>
          <w:top w:val="single" w:sz="8" w:space="0" w:color="DAD666" w:themeColor="accent5"/>
          <w:left w:val="single" w:sz="8" w:space="0" w:color="DAD666" w:themeColor="accent5"/>
          <w:bottom w:val="single" w:sz="8" w:space="0" w:color="DAD666" w:themeColor="accent5"/>
          <w:right w:val="single" w:sz="8" w:space="0" w:color="DAD666" w:themeColor="accent5"/>
        </w:tcBorders>
      </w:tcPr>
    </w:tblStylePr>
  </w:style>
  <w:style w:type="table" w:styleId="LightList-Accent6">
    <w:name w:val="Light List Accent 6"/>
    <w:basedOn w:val="Trelinjerstabell"/>
    <w:uiPriority w:val="61"/>
    <w:rsid w:val="00A81C65"/>
    <w:tblPr>
      <w:tblStyleRowBandSize w:val="1"/>
      <w:tblStyleColBandSize w:val="1"/>
      <w:tblBorders>
        <w:top w:val="single" w:sz="8" w:space="0" w:color="616265" w:themeColor="accent6"/>
        <w:left w:val="single" w:sz="8" w:space="0" w:color="616265" w:themeColor="accent6"/>
        <w:bottom w:val="single" w:sz="8" w:space="0" w:color="616265" w:themeColor="accent6"/>
        <w:right w:val="single" w:sz="8" w:space="0" w:color="616265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bottom w:val="single" w:sz="4" w:space="0" w:color="auto"/>
        </w:tcBorders>
        <w:shd w:val="clear" w:color="auto" w:fill="616265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16265" w:themeColor="accent6"/>
          <w:left w:val="single" w:sz="8" w:space="0" w:color="616265" w:themeColor="accent6"/>
          <w:bottom w:val="single" w:sz="8" w:space="0" w:color="616265" w:themeColor="accent6"/>
          <w:right w:val="single" w:sz="8" w:space="0" w:color="616265" w:themeColor="accent6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16265" w:themeColor="accent6"/>
          <w:left w:val="single" w:sz="8" w:space="0" w:color="616265" w:themeColor="accent6"/>
          <w:bottom w:val="single" w:sz="8" w:space="0" w:color="616265" w:themeColor="accent6"/>
          <w:right w:val="single" w:sz="8" w:space="0" w:color="616265" w:themeColor="accent6"/>
        </w:tcBorders>
      </w:tcPr>
    </w:tblStylePr>
    <w:tblStylePr w:type="band1Horz">
      <w:tblPr/>
      <w:tcPr>
        <w:tcBorders>
          <w:top w:val="single" w:sz="8" w:space="0" w:color="616265" w:themeColor="accent6"/>
          <w:left w:val="single" w:sz="8" w:space="0" w:color="616265" w:themeColor="accent6"/>
          <w:bottom w:val="single" w:sz="8" w:space="0" w:color="616265" w:themeColor="accent6"/>
          <w:right w:val="single" w:sz="8" w:space="0" w:color="616265" w:themeColor="accent6"/>
        </w:tcBorders>
      </w:tcPr>
    </w:tblStylePr>
  </w:style>
  <w:style w:type="paragraph" w:customStyle="1" w:styleId="Signaturrad">
    <w:name w:val="Signaturrad"/>
    <w:basedOn w:val="Normal"/>
    <w:next w:val="Normal"/>
    <w:semiHidden/>
    <w:qFormat/>
    <w:rsid w:val="00A81C65"/>
    <w:pPr>
      <w:pBdr>
        <w:top w:val="single" w:sz="4" w:space="12" w:color="auto"/>
      </w:pBdr>
      <w:spacing w:before="720" w:after="0" w:line="240" w:lineRule="auto"/>
    </w:pPr>
  </w:style>
  <w:style w:type="paragraph" w:customStyle="1" w:styleId="Kortsignaturrad">
    <w:name w:val="Kort signaturrad"/>
    <w:basedOn w:val="Signaturrad"/>
    <w:next w:val="Normal"/>
    <w:uiPriority w:val="10"/>
    <w:rsid w:val="00A81C65"/>
    <w:pPr>
      <w:ind w:right="4111"/>
    </w:pPr>
  </w:style>
  <w:style w:type="character" w:styleId="Strong">
    <w:name w:val="Strong"/>
    <w:basedOn w:val="DefaultParagraphFont"/>
    <w:uiPriority w:val="1"/>
    <w:rsid w:val="00A81C65"/>
    <w:rPr>
      <w:b/>
      <w:bCs/>
    </w:rPr>
  </w:style>
  <w:style w:type="table" w:customStyle="1" w:styleId="Sidfottabell">
    <w:name w:val="Sidfot tabell"/>
    <w:basedOn w:val="TableNormal"/>
    <w:uiPriority w:val="99"/>
    <w:rsid w:val="00A81C65"/>
    <w:pPr>
      <w:spacing w:after="0" w:line="240" w:lineRule="auto"/>
    </w:pPr>
    <w:rPr>
      <w:sz w:val="14"/>
    </w:rPr>
    <w:tblPr>
      <w:tblCellMar>
        <w:left w:w="0" w:type="dxa"/>
        <w:right w:w="0" w:type="dxa"/>
      </w:tblCellMar>
    </w:tblPr>
    <w:tblStylePr w:type="firstRow">
      <w:tblPr/>
      <w:tcPr>
        <w:tcBorders>
          <w:top w:val="single" w:sz="4" w:space="0" w:color="auto"/>
        </w:tcBorders>
      </w:tcPr>
    </w:tblStylePr>
  </w:style>
  <w:style w:type="paragraph" w:styleId="FootnoteText">
    <w:name w:val="footnote text"/>
    <w:basedOn w:val="Normal"/>
    <w:link w:val="FootnoteTextChar"/>
    <w:uiPriority w:val="99"/>
    <w:semiHidden/>
    <w:unhideWhenUsed/>
    <w:rsid w:val="00A81C65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81C65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81C65"/>
    <w:rPr>
      <w:vertAlign w:val="superscript"/>
    </w:rPr>
  </w:style>
  <w:style w:type="character" w:customStyle="1" w:styleId="Heading4Char">
    <w:name w:val="Heading 4 Char"/>
    <w:basedOn w:val="DefaultParagraphFont"/>
    <w:link w:val="Heading4"/>
    <w:uiPriority w:val="9"/>
    <w:rsid w:val="00A81C65"/>
    <w:rPr>
      <w:rFonts w:asciiTheme="majorHAnsi" w:eastAsiaTheme="majorEastAsia" w:hAnsiTheme="majorHAnsi" w:cstheme="majorBidi"/>
      <w:b/>
      <w:bCs/>
      <w:i/>
      <w:iCs/>
      <w:color w:val="000000" w:themeColor="accent1"/>
    </w:rPr>
  </w:style>
  <w:style w:type="character" w:customStyle="1" w:styleId="Formatmall1">
    <w:name w:val="Formatmall1"/>
    <w:basedOn w:val="DefaultParagraphFont"/>
    <w:uiPriority w:val="1"/>
    <w:rsid w:val="00A81C65"/>
    <w:rPr>
      <w:rFonts w:asciiTheme="majorHAnsi" w:hAnsiTheme="majorHAnsi"/>
      <w:color w:val="auto"/>
      <w:sz w:val="14"/>
    </w:rPr>
  </w:style>
  <w:style w:type="character" w:customStyle="1" w:styleId="Sidfotmallarna">
    <w:name w:val="Sidfot mallarna"/>
    <w:basedOn w:val="DefaultParagraphFont"/>
    <w:uiPriority w:val="1"/>
    <w:rsid w:val="00A81C65"/>
    <w:rPr>
      <w:rFonts w:asciiTheme="majorHAnsi" w:hAnsiTheme="majorHAnsi"/>
      <w:sz w:val="14"/>
    </w:rPr>
  </w:style>
  <w:style w:type="character" w:customStyle="1" w:styleId="Sidfotmallarnagr">
    <w:name w:val="Sidfot mallarna grå"/>
    <w:basedOn w:val="DefaultParagraphFont"/>
    <w:uiPriority w:val="1"/>
    <w:rsid w:val="00A81C65"/>
    <w:rPr>
      <w:color w:val="7F7F7F" w:themeColor="text1" w:themeTint="80"/>
    </w:rPr>
  </w:style>
  <w:style w:type="paragraph" w:customStyle="1" w:styleId="TillfalligText">
    <w:name w:val="TillfalligText"/>
    <w:basedOn w:val="Normal"/>
    <w:link w:val="TillfalligTextChar"/>
    <w:rsid w:val="00A81C65"/>
    <w:pPr>
      <w:spacing w:after="120"/>
    </w:pPr>
    <w:rPr>
      <w:rFonts w:cstheme="minorHAnsi"/>
      <w:bdr w:val="single" w:sz="4" w:space="0" w:color="auto"/>
    </w:rPr>
  </w:style>
  <w:style w:type="character" w:customStyle="1" w:styleId="TillfalligTextChar">
    <w:name w:val="TillfalligText Char"/>
    <w:basedOn w:val="DefaultParagraphFont"/>
    <w:link w:val="TillfalligText"/>
    <w:rsid w:val="00A81C65"/>
    <w:rPr>
      <w:rFonts w:cstheme="minorHAnsi"/>
      <w:bdr w:val="single" w:sz="4" w:space="0" w:color="auto"/>
    </w:rPr>
  </w:style>
  <w:style w:type="paragraph" w:styleId="ListBullet">
    <w:name w:val="List Bullet"/>
    <w:basedOn w:val="Normal"/>
    <w:uiPriority w:val="99"/>
    <w:qFormat/>
    <w:rsid w:val="00A81C65"/>
    <w:pPr>
      <w:numPr>
        <w:numId w:val="4"/>
      </w:numPr>
      <w:contextualSpacing/>
    </w:pPr>
  </w:style>
  <w:style w:type="paragraph" w:styleId="ListNumber">
    <w:name w:val="List Number"/>
    <w:basedOn w:val="Normal"/>
    <w:uiPriority w:val="99"/>
    <w:qFormat/>
    <w:rsid w:val="00A81C65"/>
    <w:pPr>
      <w:numPr>
        <w:numId w:val="3"/>
      </w:numPr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94FC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94FC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94FCE"/>
    <w:rPr>
      <w:sz w:val="20"/>
      <w:szCs w:val="20"/>
    </w:rPr>
  </w:style>
  <w:style w:type="paragraph" w:styleId="PlainText">
    <w:name w:val="Plain Text"/>
    <w:basedOn w:val="Normal"/>
    <w:link w:val="PlainTextChar"/>
    <w:uiPriority w:val="99"/>
    <w:unhideWhenUsed/>
    <w:rsid w:val="00294FCE"/>
    <w:pPr>
      <w:spacing w:after="0" w:line="240" w:lineRule="auto"/>
    </w:pPr>
    <w:rPr>
      <w:szCs w:val="21"/>
      <w:lang w:eastAsia="sv-SE"/>
    </w:rPr>
  </w:style>
  <w:style w:type="character" w:customStyle="1" w:styleId="PlainTextChar">
    <w:name w:val="Plain Text Char"/>
    <w:basedOn w:val="DefaultParagraphFont"/>
    <w:link w:val="PlainText"/>
    <w:uiPriority w:val="99"/>
    <w:rsid w:val="00294FCE"/>
    <w:rPr>
      <w:rFonts w:cstheme="minorBidi"/>
      <w:color w:val="auto"/>
      <w:sz w:val="22"/>
      <w:szCs w:val="21"/>
      <w:lang w:eastAsia="sv-S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401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2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62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0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SLU Färger">
      <a:dk1>
        <a:srgbClr val="000000"/>
      </a:dk1>
      <a:lt1>
        <a:sysClr val="window" lastClr="FFFFFF"/>
      </a:lt1>
      <a:dk2>
        <a:srgbClr val="000000"/>
      </a:dk2>
      <a:lt2>
        <a:srgbClr val="A5A5A5"/>
      </a:lt2>
      <a:accent1>
        <a:srgbClr val="000000"/>
      </a:accent1>
      <a:accent2>
        <a:srgbClr val="D28E00"/>
      </a:accent2>
      <a:accent3>
        <a:srgbClr val="9961C3"/>
      </a:accent3>
      <a:accent4>
        <a:srgbClr val="80BFD3"/>
      </a:accent4>
      <a:accent5>
        <a:srgbClr val="DAD666"/>
      </a:accent5>
      <a:accent6>
        <a:srgbClr val="616265"/>
      </a:accent6>
      <a:hlink>
        <a:srgbClr val="000000"/>
      </a:hlink>
      <a:folHlink>
        <a:srgbClr val="000000"/>
      </a:folHlink>
    </a:clrScheme>
    <a:fontScheme name="SLU2011">
      <a:majorFont>
        <a:latin typeface="Arial"/>
        <a:ea typeface=""/>
        <a:cs typeface=""/>
      </a:majorFont>
      <a:minorFont>
        <a:latin typeface="Times New Roman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2F6CF5AC4B69D4CA4913C8C7806130C" ma:contentTypeVersion="0" ma:contentTypeDescription="Skapa ett nytt dokument." ma:contentTypeScope="" ma:versionID="99a8c06d041fe489a0ac81dc45f84c12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88ddc45a2a1ba233d786d3fa5db79ea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ehållstyp"/>
        <xsd:element ref="dc:title" minOccurs="0" maxOccurs="1" ma:index="4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tns:customPropertyEditors xmlns:tns="http://schemas.microsoft.com/office/2006/customDocumentInformationPanel">
  <tns:showOnOpen>false</tns:showOnOpen>
  <tns:defaultPropertyEditorNamespace>Standardegenskaper och egenskaper för SharePoint-bibliotek</tns:defaultPropertyEditorNamespace>
</tns:customPropertyEditor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E139D32-C100-407F-ABC8-6BC7DACBCB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DA9EF7A-CCE7-4AF5-BA3C-73D4204EBDDA}">
  <ds:schemaRefs>
    <ds:schemaRef ds:uri="http://schemas.microsoft.com/office/2006/customDocumentInformationPanel"/>
  </ds:schemaRefs>
</ds:datastoreItem>
</file>

<file path=customXml/itemProps3.xml><?xml version="1.0" encoding="utf-8"?>
<ds:datastoreItem xmlns:ds="http://schemas.openxmlformats.org/officeDocument/2006/customXml" ds:itemID="{14B571DE-9FEF-443E-BFEF-8D8A10FF54E4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9960D0ED-8279-48F7-8F48-1DCB4F333D84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26208C63-3BA0-4E10-999A-5A1631CE23E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1472</Words>
  <Characters>7805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SLU</Company>
  <LinksUpToDate>false</LinksUpToDate>
  <CharactersWithSpaces>9259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 Lindman</dc:creator>
  <cp:keywords/>
  <dc:description/>
  <cp:lastModifiedBy>Lindman, Ly</cp:lastModifiedBy>
  <cp:revision>2</cp:revision>
  <cp:lastPrinted>2012-03-26T17:07:00Z</cp:lastPrinted>
  <dcterms:created xsi:type="dcterms:W3CDTF">2022-11-04T07:46:00Z</dcterms:created>
  <dcterms:modified xsi:type="dcterms:W3CDTF">2022-11-04T07:46:00Z</dcterms:modified>
</cp:coreProperties>
</file>